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CF87" w14:textId="5BEA86EC" w:rsidR="00B91EFE" w:rsidRDefault="00B91EFE" w:rsidP="00B91EFE">
      <w:pPr>
        <w:widowControl w:val="0"/>
        <w:pBdr>
          <w:top w:val="nil"/>
          <w:left w:val="nil"/>
          <w:bottom w:val="nil"/>
          <w:right w:val="nil"/>
          <w:between w:val="nil"/>
        </w:pBdr>
        <w:spacing w:line="240" w:lineRule="auto"/>
        <w:ind w:left="1440" w:right="4548"/>
        <w:jc w:val="right"/>
        <w:rPr>
          <w:rFonts w:ascii="Times New Roman" w:eastAsia="Times New Roman" w:hAnsi="Times New Roman" w:cs="Times New Roman"/>
          <w:b/>
          <w:bCs/>
          <w:color w:val="00000A"/>
          <w:sz w:val="23"/>
          <w:szCs w:val="23"/>
        </w:rPr>
      </w:pPr>
      <w:r>
        <w:rPr>
          <w:noProof/>
        </w:rPr>
        <w:drawing>
          <wp:anchor distT="0" distB="0" distL="114300" distR="114300" simplePos="0" relativeHeight="251660288" behindDoc="0" locked="0" layoutInCell="1" allowOverlap="1" wp14:anchorId="4E951A86" wp14:editId="142B61A4">
            <wp:simplePos x="0" y="0"/>
            <wp:positionH relativeFrom="margin">
              <wp:posOffset>5161280</wp:posOffset>
            </wp:positionH>
            <wp:positionV relativeFrom="paragraph">
              <wp:posOffset>0</wp:posOffset>
            </wp:positionV>
            <wp:extent cx="1073150" cy="1066800"/>
            <wp:effectExtent l="0" t="0" r="0" b="0"/>
            <wp:wrapThrough wrapText="bothSides">
              <wp:wrapPolygon edited="0">
                <wp:start x="0" y="0"/>
                <wp:lineTo x="0" y="21214"/>
                <wp:lineTo x="21089" y="21214"/>
                <wp:lineTo x="21089" y="0"/>
                <wp:lineTo x="0" y="0"/>
              </wp:wrapPolygon>
            </wp:wrapThrough>
            <wp:docPr id="5848049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19050" distB="19050" distL="19050" distR="19050" simplePos="0" relativeHeight="251659264" behindDoc="0" locked="0" layoutInCell="1" hidden="0" allowOverlap="1" wp14:anchorId="67B12C3D" wp14:editId="067F6B95">
            <wp:simplePos x="0" y="0"/>
            <wp:positionH relativeFrom="margin">
              <wp:align>left</wp:align>
            </wp:positionH>
            <wp:positionV relativeFrom="paragraph">
              <wp:posOffset>0</wp:posOffset>
            </wp:positionV>
            <wp:extent cx="1200150" cy="1066800"/>
            <wp:effectExtent l="0" t="0" r="0" b="0"/>
            <wp:wrapSquare wrapText="righ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10668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A"/>
          <w:sz w:val="23"/>
          <w:szCs w:val="23"/>
        </w:rPr>
        <w:t xml:space="preserve">I.V.G.T SRL </w:t>
      </w:r>
    </w:p>
    <w:p w14:paraId="3EE33214" w14:textId="017D3EBF" w:rsidR="00B91EFE" w:rsidRDefault="00B91EFE" w:rsidP="00B91EFE">
      <w:pPr>
        <w:widowControl w:val="0"/>
        <w:pBdr>
          <w:top w:val="nil"/>
          <w:left w:val="nil"/>
          <w:bottom w:val="nil"/>
          <w:right w:val="nil"/>
          <w:between w:val="nil"/>
        </w:pBdr>
        <w:spacing w:line="240" w:lineRule="auto"/>
        <w:ind w:left="1440" w:right="2705"/>
        <w:jc w:val="center"/>
        <w:rPr>
          <w:rFonts w:ascii="Times New Roman" w:eastAsia="Times New Roman" w:hAnsi="Times New Roman" w:cs="Times New Roman"/>
          <w:b/>
          <w:bCs/>
          <w:color w:val="00000A"/>
          <w:sz w:val="23"/>
          <w:szCs w:val="23"/>
        </w:rPr>
      </w:pPr>
      <w:r>
        <w:rPr>
          <w:rFonts w:ascii="Times New Roman" w:eastAsia="Times New Roman" w:hAnsi="Times New Roman" w:cs="Times New Roman"/>
          <w:b/>
          <w:bCs/>
          <w:color w:val="00000A"/>
          <w:sz w:val="23"/>
          <w:szCs w:val="23"/>
        </w:rPr>
        <w:t xml:space="preserve">ISTITUTO VENDITE GIUDIZIARE DEL TRENTINO </w:t>
      </w:r>
    </w:p>
    <w:p w14:paraId="2D050069" w14:textId="77777777" w:rsidR="00B91EFE" w:rsidRDefault="00B91EFE" w:rsidP="00B91EFE">
      <w:pPr>
        <w:widowControl w:val="0"/>
        <w:pBdr>
          <w:top w:val="nil"/>
          <w:left w:val="nil"/>
          <w:bottom w:val="nil"/>
          <w:right w:val="nil"/>
          <w:between w:val="nil"/>
        </w:pBdr>
        <w:spacing w:line="240" w:lineRule="auto"/>
        <w:ind w:left="1440" w:right="400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sede operativa: Via Fersina 12/a,  </w:t>
      </w:r>
    </w:p>
    <w:p w14:paraId="33ED7923" w14:textId="77777777" w:rsidR="00B91EFE" w:rsidRDefault="00B91EFE" w:rsidP="00B91EFE">
      <w:pPr>
        <w:widowControl w:val="0"/>
        <w:pBdr>
          <w:top w:val="nil"/>
          <w:left w:val="nil"/>
          <w:bottom w:val="nil"/>
          <w:right w:val="nil"/>
          <w:between w:val="nil"/>
        </w:pBdr>
        <w:spacing w:line="240" w:lineRule="auto"/>
        <w:ind w:right="451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tel. 0461/923082  </w:t>
      </w:r>
    </w:p>
    <w:p w14:paraId="384D0803" w14:textId="07909FDB" w:rsid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c.f. e piva 02239880228 </w:t>
      </w:r>
    </w:p>
    <w:p w14:paraId="64A0C076" w14:textId="77777777" w:rsidR="00B91EFE" w:rsidRP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hyperlink r:id="rId8" w:history="1">
        <w:r w:rsidRPr="00B91EFE">
          <w:rPr>
            <w:rStyle w:val="Collegamentoipertestuale"/>
            <w:rFonts w:ascii="Times New Roman" w:eastAsia="Times New Roman" w:hAnsi="Times New Roman" w:cs="Times New Roman"/>
            <w:sz w:val="18"/>
            <w:szCs w:val="18"/>
          </w:rPr>
          <w:t>ivgtrento@gmail.com</w:t>
        </w:r>
      </w:hyperlink>
    </w:p>
    <w:p w14:paraId="1AB86E68" w14:textId="02576F04" w:rsidR="00B91EFE" w:rsidRDefault="00B91EFE" w:rsidP="00B91EFE">
      <w:pPr>
        <w:widowControl w:val="0"/>
        <w:pBdr>
          <w:top w:val="nil"/>
          <w:left w:val="nil"/>
          <w:bottom w:val="nil"/>
          <w:right w:val="nil"/>
          <w:between w:val="nil"/>
        </w:pBdr>
        <w:spacing w:line="240" w:lineRule="auto"/>
        <w:ind w:right="3059"/>
        <w:jc w:val="center"/>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ivgtrento@associazioneivg.legalmail.it</w:t>
      </w:r>
    </w:p>
    <w:p w14:paraId="6DF6292B" w14:textId="77777777" w:rsidR="00B91EFE" w:rsidRDefault="00B91EFE" w:rsidP="00B91EFE">
      <w:pPr>
        <w:widowControl w:val="0"/>
        <w:pBdr>
          <w:top w:val="nil"/>
          <w:left w:val="nil"/>
          <w:bottom w:val="nil"/>
          <w:right w:val="nil"/>
          <w:between w:val="nil"/>
        </w:pBdr>
        <w:spacing w:line="240" w:lineRule="auto"/>
        <w:ind w:right="4298"/>
        <w:jc w:val="center"/>
        <w:rPr>
          <w:rFonts w:ascii="Times New Roman" w:eastAsia="Times New Roman" w:hAnsi="Times New Roman" w:cs="Times New Roman"/>
          <w:color w:val="00000A"/>
          <w:sz w:val="18"/>
          <w:szCs w:val="18"/>
        </w:rPr>
      </w:pPr>
    </w:p>
    <w:p w14:paraId="4411A996" w14:textId="77777777" w:rsidR="00B91EFE" w:rsidRDefault="00B91EFE" w:rsidP="00E531D8">
      <w:pPr>
        <w:widowControl w:val="0"/>
        <w:pBdr>
          <w:top w:val="nil"/>
          <w:left w:val="nil"/>
          <w:bottom w:val="nil"/>
          <w:right w:val="nil"/>
          <w:between w:val="nil"/>
        </w:pBdr>
        <w:spacing w:before="888" w:line="240" w:lineRule="auto"/>
        <w:ind w:right="393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Tribunale di TRENTO </w:t>
      </w:r>
    </w:p>
    <w:p w14:paraId="74A3AD7D" w14:textId="77777777" w:rsidR="00B91EFE" w:rsidRDefault="00B91EFE" w:rsidP="00B91EFE">
      <w:pPr>
        <w:widowControl w:val="0"/>
        <w:pBdr>
          <w:top w:val="nil"/>
          <w:left w:val="nil"/>
          <w:bottom w:val="nil"/>
          <w:right w:val="nil"/>
          <w:between w:val="nil"/>
        </w:pBdr>
        <w:spacing w:line="240" w:lineRule="auto"/>
        <w:ind w:right="301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Sezione PROCEDURE CONCORSUALI </w:t>
      </w:r>
    </w:p>
    <w:p w14:paraId="464397FC" w14:textId="77777777" w:rsidR="00B91EFE" w:rsidRDefault="00B91EFE" w:rsidP="00B91EFE">
      <w:pPr>
        <w:widowControl w:val="0"/>
        <w:pBdr>
          <w:top w:val="nil"/>
          <w:left w:val="nil"/>
          <w:bottom w:val="nil"/>
          <w:right w:val="nil"/>
          <w:between w:val="nil"/>
        </w:pBdr>
        <w:spacing w:before="658" w:line="240" w:lineRule="auto"/>
        <w:ind w:right="2126"/>
        <w:jc w:val="right"/>
        <w:rPr>
          <w:rFonts w:ascii="Times New Roman" w:eastAsia="Times New Roman" w:hAnsi="Times New Roman" w:cs="Times New Roman"/>
          <w:b/>
          <w:bCs/>
          <w:color w:val="000000"/>
          <w:sz w:val="31"/>
          <w:szCs w:val="31"/>
        </w:rPr>
      </w:pPr>
      <w:r>
        <w:rPr>
          <w:rFonts w:ascii="Times New Roman" w:eastAsia="Times New Roman" w:hAnsi="Times New Roman" w:cs="Times New Roman"/>
          <w:b/>
          <w:bCs/>
          <w:color w:val="000000"/>
          <w:sz w:val="31"/>
          <w:szCs w:val="31"/>
        </w:rPr>
        <w:t xml:space="preserve">LIQUIDAZIONE GIUDIZIALE N. 31/2025 </w:t>
      </w:r>
    </w:p>
    <w:p w14:paraId="2A2A76E4" w14:textId="77777777" w:rsidR="00B91EFE" w:rsidRDefault="00B91EFE" w:rsidP="00B91EFE">
      <w:pPr>
        <w:widowControl w:val="0"/>
        <w:pBdr>
          <w:top w:val="nil"/>
          <w:left w:val="nil"/>
          <w:bottom w:val="nil"/>
          <w:right w:val="nil"/>
          <w:between w:val="nil"/>
        </w:pBdr>
        <w:spacing w:before="189" w:line="240" w:lineRule="auto"/>
        <w:ind w:right="240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GIUDICE DELEGATO: Dott. BENEDETTO SIEFF </w:t>
      </w:r>
    </w:p>
    <w:p w14:paraId="3A1FC239" w14:textId="77777777" w:rsidR="00B91EFE" w:rsidRDefault="00B91EFE" w:rsidP="00B91EFE">
      <w:pPr>
        <w:widowControl w:val="0"/>
        <w:pBdr>
          <w:top w:val="nil"/>
          <w:left w:val="nil"/>
          <w:bottom w:val="nil"/>
          <w:right w:val="nil"/>
          <w:between w:val="nil"/>
        </w:pBdr>
        <w:spacing w:before="178" w:line="240" w:lineRule="auto"/>
        <w:ind w:right="280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LIQUIDATORE: Dott.ssa Patrizia Gentil </w:t>
      </w:r>
    </w:p>
    <w:p w14:paraId="6F6AE3CA" w14:textId="77777777" w:rsidR="00B91EFE" w:rsidRDefault="00B91EFE" w:rsidP="00B91EFE">
      <w:pPr>
        <w:widowControl w:val="0"/>
        <w:pBdr>
          <w:top w:val="nil"/>
          <w:left w:val="nil"/>
          <w:bottom w:val="nil"/>
          <w:right w:val="nil"/>
          <w:between w:val="nil"/>
        </w:pBdr>
        <w:spacing w:before="178" w:line="240" w:lineRule="auto"/>
        <w:ind w:right="266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DELEGATO ALLA VENDITA: IVG TRENTO </w:t>
      </w:r>
    </w:p>
    <w:p w14:paraId="72B1A97A" w14:textId="77777777" w:rsidR="00B91EFE" w:rsidRDefault="00B91EFE" w:rsidP="00B91EFE">
      <w:pPr>
        <w:widowControl w:val="0"/>
        <w:pBdr>
          <w:top w:val="nil"/>
          <w:left w:val="nil"/>
          <w:bottom w:val="nil"/>
          <w:right w:val="nil"/>
          <w:between w:val="nil"/>
        </w:pBdr>
        <w:spacing w:before="634" w:line="240" w:lineRule="auto"/>
        <w:ind w:right="457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14:paraId="0B17F187" w14:textId="77777777" w:rsidR="00B91EFE" w:rsidRDefault="00B91EFE" w:rsidP="00B91EFE">
      <w:pPr>
        <w:widowControl w:val="0"/>
        <w:pBdr>
          <w:top w:val="nil"/>
          <w:left w:val="nil"/>
          <w:bottom w:val="nil"/>
          <w:right w:val="nil"/>
          <w:between w:val="nil"/>
        </w:pBdr>
        <w:spacing w:before="780" w:line="240" w:lineRule="auto"/>
        <w:ind w:right="3211"/>
        <w:jc w:val="right"/>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AVVISO DI VENDITA</w:t>
      </w:r>
    </w:p>
    <w:p w14:paraId="30998928" w14:textId="77777777" w:rsidR="00B91EFE" w:rsidRDefault="00B91EFE" w:rsidP="00B91EFE">
      <w:pPr>
        <w:widowControl w:val="0"/>
        <w:pBdr>
          <w:top w:val="nil"/>
          <w:left w:val="nil"/>
          <w:bottom w:val="nil"/>
          <w:right w:val="nil"/>
          <w:between w:val="nil"/>
        </w:pBdr>
        <w:spacing w:before="192" w:line="240" w:lineRule="auto"/>
        <w:ind w:right="402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SINCRONA MISTA</w:t>
      </w:r>
    </w:p>
    <w:p w14:paraId="54E5EF6E" w14:textId="300F3329" w:rsidR="00B91EFE" w:rsidRDefault="00EB7AB9" w:rsidP="00E531D8">
      <w:pPr>
        <w:widowControl w:val="0"/>
        <w:pBdr>
          <w:top w:val="nil"/>
          <w:left w:val="nil"/>
          <w:bottom w:val="nil"/>
          <w:right w:val="nil"/>
          <w:between w:val="nil"/>
        </w:pBdr>
        <w:spacing w:before="634"/>
        <w:ind w:right="239"/>
        <w:jc w:val="both"/>
        <w:rPr>
          <w:rFonts w:ascii="Times New Roman" w:eastAsia="Times New Roman" w:hAnsi="Times New Roman" w:cs="Times New Roman"/>
          <w:b/>
          <w:bCs/>
          <w:color w:val="000000"/>
          <w:sz w:val="24"/>
          <w:szCs w:val="24"/>
        </w:rPr>
      </w:pPr>
      <w:r w:rsidRPr="00EB7AB9">
        <w:rPr>
          <w:rFonts w:ascii="Times New Roman" w:eastAsia="Times New Roman" w:hAnsi="Times New Roman" w:cs="Times New Roman"/>
          <w:color w:val="000000"/>
          <w:sz w:val="24"/>
          <w:szCs w:val="24"/>
        </w:rPr>
        <w:t>La sottoscritta Dottoressa Patrizia Gentil della Liquidazione Giudiziale n.31/2025, attraverso il delegato Istituto Vendite Giudiziarie del Trentino (in sigla IVGT S.r.l.), avvisa che si procederà alla vendita dei seguenti beni</w:t>
      </w:r>
      <w:r w:rsidR="00B91EFE">
        <w:rPr>
          <w:rFonts w:ascii="Times New Roman" w:eastAsia="Times New Roman" w:hAnsi="Times New Roman" w:cs="Times New Roman"/>
          <w:color w:val="000000"/>
          <w:sz w:val="24"/>
          <w:szCs w:val="24"/>
        </w:rPr>
        <w:t xml:space="preserve">: </w:t>
      </w:r>
      <w:r w:rsidR="005B1DF5">
        <w:rPr>
          <w:rFonts w:ascii="Times New Roman" w:eastAsia="Times New Roman" w:hAnsi="Times New Roman" w:cs="Times New Roman"/>
          <w:b/>
          <w:bCs/>
          <w:color w:val="000000"/>
          <w:sz w:val="24"/>
          <w:szCs w:val="24"/>
        </w:rPr>
        <w:t xml:space="preserve">LOTTO </w:t>
      </w:r>
      <w:r w:rsidR="00C26C8C">
        <w:rPr>
          <w:rFonts w:ascii="Times New Roman" w:eastAsia="Times New Roman" w:hAnsi="Times New Roman" w:cs="Times New Roman"/>
          <w:b/>
          <w:bCs/>
          <w:color w:val="000000"/>
          <w:sz w:val="24"/>
          <w:szCs w:val="24"/>
        </w:rPr>
        <w:t>5)</w:t>
      </w:r>
      <w:r w:rsidR="005B1DF5">
        <w:rPr>
          <w:rFonts w:ascii="Times New Roman" w:eastAsia="Times New Roman" w:hAnsi="Times New Roman" w:cs="Times New Roman"/>
          <w:b/>
          <w:bCs/>
          <w:color w:val="000000"/>
          <w:sz w:val="24"/>
          <w:szCs w:val="24"/>
        </w:rPr>
        <w:t xml:space="preserve"> </w:t>
      </w:r>
      <w:r w:rsidR="00C26C8C">
        <w:rPr>
          <w:rFonts w:ascii="Times New Roman" w:eastAsia="Times New Roman" w:hAnsi="Times New Roman" w:cs="Times New Roman"/>
          <w:b/>
          <w:bCs/>
          <w:color w:val="000000"/>
          <w:sz w:val="24"/>
          <w:szCs w:val="24"/>
        </w:rPr>
        <w:t>POSTO AUTO COPERTO DELLA SUPERFICIE NETTA DI 14 MQ ED UNA STRADA DI ACCESO DELLA SUPERFICIE CATASTALE DI 265 MQ</w:t>
      </w:r>
      <w:r w:rsidR="005B1DF5">
        <w:rPr>
          <w:rFonts w:ascii="Times New Roman" w:eastAsia="Times New Roman" w:hAnsi="Times New Roman" w:cs="Times New Roman"/>
          <w:b/>
          <w:bCs/>
          <w:color w:val="000000"/>
          <w:sz w:val="24"/>
          <w:szCs w:val="24"/>
        </w:rPr>
        <w:t xml:space="preserve"> sita in Via </w:t>
      </w:r>
      <w:r w:rsidR="00C26C8C">
        <w:rPr>
          <w:rFonts w:ascii="Times New Roman" w:eastAsia="Times New Roman" w:hAnsi="Times New Roman" w:cs="Times New Roman"/>
          <w:b/>
          <w:bCs/>
          <w:color w:val="000000"/>
          <w:sz w:val="24"/>
          <w:szCs w:val="24"/>
        </w:rPr>
        <w:t>della Madona Nera, 15</w:t>
      </w:r>
      <w:r w:rsidR="005B1DF5">
        <w:rPr>
          <w:rFonts w:ascii="Times New Roman" w:eastAsia="Times New Roman" w:hAnsi="Times New Roman" w:cs="Times New Roman"/>
          <w:b/>
          <w:bCs/>
          <w:color w:val="000000"/>
          <w:sz w:val="24"/>
          <w:szCs w:val="24"/>
        </w:rPr>
        <w:t xml:space="preserve"> Borgo Valsugana (TN).</w:t>
      </w:r>
    </w:p>
    <w:p w14:paraId="141F3218" w14:textId="77777777" w:rsidR="00B91EFE" w:rsidRDefault="00B91EFE" w:rsidP="00E531D8">
      <w:pPr>
        <w:widowControl w:val="0"/>
        <w:pBdr>
          <w:top w:val="nil"/>
          <w:left w:val="nil"/>
          <w:bottom w:val="nil"/>
          <w:right w:val="nil"/>
          <w:between w:val="nil"/>
        </w:pBdr>
        <w:spacing w:before="282"/>
        <w:ind w:right="466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AVVISA</w:t>
      </w:r>
    </w:p>
    <w:p w14:paraId="0BD1821D" w14:textId="77777777" w:rsidR="00B91EFE" w:rsidRDefault="00B91EFE" w:rsidP="00E531D8">
      <w:pPr>
        <w:widowControl w:val="0"/>
        <w:pBdr>
          <w:top w:val="nil"/>
          <w:left w:val="nil"/>
          <w:bottom w:val="nil"/>
          <w:right w:val="nil"/>
          <w:between w:val="nil"/>
        </w:pBdr>
        <w:spacing w:before="271"/>
        <w:ind w:right="24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il </w:t>
      </w:r>
      <w:r>
        <w:rPr>
          <w:rFonts w:ascii="Times New Roman" w:eastAsia="Times New Roman" w:hAnsi="Times New Roman" w:cs="Times New Roman"/>
          <w:b/>
          <w:bCs/>
          <w:color w:val="000000"/>
          <w:sz w:val="24"/>
          <w:szCs w:val="24"/>
        </w:rPr>
        <w:t xml:space="preserve">giorno 15 DICEMBRE 2026 alle ore 12.00 </w:t>
      </w:r>
      <w:r>
        <w:rPr>
          <w:rFonts w:ascii="Times New Roman" w:eastAsia="Times New Roman" w:hAnsi="Times New Roman" w:cs="Times New Roman"/>
          <w:color w:val="000000"/>
          <w:sz w:val="24"/>
          <w:szCs w:val="24"/>
        </w:rPr>
        <w:t xml:space="preserve">si darà luogo alla vendita dell’immobile sotto descritto, alle condizioni e modalità di seguito indicate. </w:t>
      </w:r>
    </w:p>
    <w:p w14:paraId="7F793945" w14:textId="77777777" w:rsidR="00B91EFE" w:rsidRDefault="00B91EFE" w:rsidP="00E531D8">
      <w:pPr>
        <w:widowControl w:val="0"/>
        <w:pBdr>
          <w:top w:val="nil"/>
          <w:left w:val="nil"/>
          <w:bottom w:val="nil"/>
          <w:right w:val="nil"/>
          <w:between w:val="nil"/>
        </w:pBdr>
        <w:spacing w:before="282"/>
        <w:ind w:right="477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FISSA</w:t>
      </w:r>
    </w:p>
    <w:p w14:paraId="05376AD2" w14:textId="07F61258" w:rsidR="00B91EFE" w:rsidRDefault="00B91EFE" w:rsidP="00E531D8">
      <w:pPr>
        <w:widowControl w:val="0"/>
        <w:pBdr>
          <w:top w:val="nil"/>
          <w:left w:val="nil"/>
          <w:bottom w:val="nil"/>
          <w:right w:val="nil"/>
          <w:between w:val="nil"/>
        </w:pBdr>
        <w:spacing w:before="271"/>
        <w:ind w:right="2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quale prezzo base di vendita le somme stabilite per il lotto come di seguito indicato, oltre IVA se e ove dovuta, con offerte in aumento non inferiori a quanto indicato di seguito. </w:t>
      </w:r>
    </w:p>
    <w:p w14:paraId="38727BF1" w14:textId="5036DC89" w:rsidR="00E531D8" w:rsidRDefault="00E531D8" w:rsidP="00E531D8">
      <w:pPr>
        <w:widowControl w:val="0"/>
        <w:pBdr>
          <w:top w:val="nil"/>
          <w:left w:val="nil"/>
          <w:bottom w:val="nil"/>
          <w:right w:val="nil"/>
          <w:between w:val="nil"/>
        </w:pBdr>
        <w:ind w:right="236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DESCRIZIONE DEL LOTTO </w:t>
      </w:r>
      <w:r w:rsidR="001E261E">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rPr>
        <w:t xml:space="preserve"> POSTO IN VENDITA </w:t>
      </w:r>
    </w:p>
    <w:p w14:paraId="1AE1E734" w14:textId="701DA9AA" w:rsidR="005B1DF5" w:rsidRPr="009E5053" w:rsidRDefault="005B1DF5" w:rsidP="005B1DF5">
      <w:pPr>
        <w:widowControl w:val="0"/>
        <w:pBdr>
          <w:top w:val="nil"/>
          <w:left w:val="nil"/>
          <w:bottom w:val="nil"/>
          <w:right w:val="nil"/>
          <w:between w:val="nil"/>
        </w:pBdr>
        <w:spacing w:before="272"/>
        <w:ind w:right="397"/>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u w:val="single"/>
        </w:rPr>
        <w:lastRenderedPageBreak/>
        <w:t xml:space="preserve">Dalla perizia del CTU </w:t>
      </w:r>
      <w:proofErr w:type="spellStart"/>
      <w:r w:rsidRPr="009E5053">
        <w:rPr>
          <w:rFonts w:ascii="Times New Roman" w:eastAsia="Times New Roman" w:hAnsi="Times New Roman" w:cs="Times New Roman"/>
          <w:b/>
          <w:bCs/>
          <w:color w:val="000000"/>
          <w:sz w:val="24"/>
          <w:szCs w:val="24"/>
          <w:u w:val="single"/>
        </w:rPr>
        <w:t>dd</w:t>
      </w:r>
      <w:proofErr w:type="spellEnd"/>
      <w:r w:rsidRPr="009E5053">
        <w:rPr>
          <w:rFonts w:ascii="Times New Roman" w:eastAsia="Times New Roman" w:hAnsi="Times New Roman" w:cs="Times New Roman"/>
          <w:b/>
          <w:bCs/>
          <w:color w:val="000000"/>
          <w:sz w:val="24"/>
          <w:szCs w:val="24"/>
          <w:u w:val="single"/>
        </w:rPr>
        <w:t>. 10/07/2026, che qui deve intendersi richiamata e trascritta, risulta</w:t>
      </w:r>
      <w:r w:rsidRPr="009E5053">
        <w:rPr>
          <w:rFonts w:ascii="Times New Roman" w:eastAsia="Times New Roman" w:hAnsi="Times New Roman" w:cs="Times New Roman"/>
          <w:color w:val="000000"/>
          <w:sz w:val="24"/>
          <w:szCs w:val="24"/>
        </w:rPr>
        <w:t xml:space="preserve">: </w:t>
      </w:r>
      <w:r w:rsidR="00C26C8C">
        <w:rPr>
          <w:rFonts w:ascii="Times New Roman" w:eastAsia="Times New Roman" w:hAnsi="Times New Roman" w:cs="Times New Roman"/>
          <w:color w:val="000000"/>
          <w:sz w:val="24"/>
          <w:szCs w:val="24"/>
        </w:rPr>
        <w:t>POSTO AUTO COPERTO E STRADA DI ACCESSO</w:t>
      </w:r>
      <w:r w:rsidRPr="009E5053">
        <w:rPr>
          <w:rFonts w:ascii="Times New Roman" w:eastAsia="Times New Roman" w:hAnsi="Times New Roman" w:cs="Times New Roman"/>
          <w:color w:val="000000"/>
          <w:sz w:val="24"/>
          <w:szCs w:val="24"/>
        </w:rPr>
        <w:t xml:space="preserve"> sita in Via </w:t>
      </w:r>
      <w:r w:rsidR="00C26C8C">
        <w:rPr>
          <w:rFonts w:ascii="Times New Roman" w:eastAsia="Times New Roman" w:hAnsi="Times New Roman" w:cs="Times New Roman"/>
          <w:color w:val="000000"/>
          <w:sz w:val="24"/>
          <w:szCs w:val="24"/>
        </w:rPr>
        <w:t>della Madona Nera, 15</w:t>
      </w:r>
      <w:r w:rsidRPr="009E5053">
        <w:rPr>
          <w:rFonts w:ascii="Times New Roman" w:eastAsia="Times New Roman" w:hAnsi="Times New Roman" w:cs="Times New Roman"/>
          <w:color w:val="000000"/>
          <w:sz w:val="24"/>
          <w:szCs w:val="24"/>
        </w:rPr>
        <w:t xml:space="preserve"> Borgo Valsugana (TN). </w:t>
      </w:r>
    </w:p>
    <w:p w14:paraId="676F8324"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5DEAF2AD" w14:textId="48E5FB9D" w:rsidR="00C26C8C" w:rsidRPr="00C26C8C"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 xml:space="preserve">La </w:t>
      </w:r>
      <w:r w:rsidRPr="00C26C8C">
        <w:rPr>
          <w:rFonts w:ascii="Times New Roman" w:hAnsi="Times New Roman" w:cs="Times New Roman"/>
          <w:b/>
          <w:bCs/>
          <w:sz w:val="24"/>
          <w:szCs w:val="24"/>
        </w:rPr>
        <w:t>P.ED. 2588 è divisa in porzioni materiali e la P.M. 7</w:t>
      </w:r>
      <w:r w:rsidRPr="00C26C8C">
        <w:rPr>
          <w:rFonts w:ascii="Times New Roman" w:hAnsi="Times New Roman" w:cs="Times New Roman"/>
          <w:sz w:val="24"/>
          <w:szCs w:val="24"/>
        </w:rPr>
        <w:t xml:space="preserve"> viene così</w:t>
      </w:r>
      <w:r>
        <w:rPr>
          <w:rFonts w:ascii="Times New Roman" w:hAnsi="Times New Roman" w:cs="Times New Roman"/>
          <w:sz w:val="24"/>
          <w:szCs w:val="24"/>
        </w:rPr>
        <w:t xml:space="preserve"> </w:t>
      </w:r>
      <w:r w:rsidRPr="00C26C8C">
        <w:rPr>
          <w:rFonts w:ascii="Times New Roman" w:hAnsi="Times New Roman" w:cs="Times New Roman"/>
          <w:sz w:val="24"/>
          <w:szCs w:val="24"/>
        </w:rPr>
        <w:t>descritta:</w:t>
      </w:r>
    </w:p>
    <w:p w14:paraId="6ED8F810" w14:textId="39F2A4DB" w:rsidR="005B1DF5"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A piano interrato: posto macchina</w:t>
      </w:r>
      <w:r>
        <w:rPr>
          <w:rFonts w:ascii="Times New Roman" w:hAnsi="Times New Roman" w:cs="Times New Roman"/>
          <w:sz w:val="24"/>
          <w:szCs w:val="24"/>
        </w:rPr>
        <w:t>.</w:t>
      </w:r>
    </w:p>
    <w:p w14:paraId="3EA3B523" w14:textId="77777777" w:rsidR="00C26C8C" w:rsidRPr="009E5053" w:rsidRDefault="00C26C8C" w:rsidP="00C26C8C">
      <w:pPr>
        <w:autoSpaceDE w:val="0"/>
        <w:autoSpaceDN w:val="0"/>
        <w:adjustRightInd w:val="0"/>
        <w:jc w:val="both"/>
        <w:rPr>
          <w:rFonts w:ascii="Times New Roman" w:hAnsi="Times New Roman" w:cs="Times New Roman"/>
          <w:sz w:val="24"/>
          <w:szCs w:val="24"/>
        </w:rPr>
      </w:pPr>
    </w:p>
    <w:p w14:paraId="14B18031" w14:textId="1553EBBA"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FABBRICATO </w:t>
      </w:r>
    </w:p>
    <w:p w14:paraId="1235EAA2" w14:textId="196337A6" w:rsidR="00C26C8C" w:rsidRPr="00C26C8C"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La P.ED. 2588 del Comune Catastale di Borgo identifica un edificio di tipo</w:t>
      </w:r>
      <w:r>
        <w:rPr>
          <w:rFonts w:ascii="Times New Roman" w:hAnsi="Times New Roman" w:cs="Times New Roman"/>
          <w:sz w:val="24"/>
          <w:szCs w:val="24"/>
        </w:rPr>
        <w:t xml:space="preserve"> </w:t>
      </w:r>
      <w:r w:rsidRPr="00C26C8C">
        <w:rPr>
          <w:rFonts w:ascii="Times New Roman" w:hAnsi="Times New Roman" w:cs="Times New Roman"/>
          <w:sz w:val="24"/>
          <w:szCs w:val="24"/>
        </w:rPr>
        <w:t>residenziale posto nella periferia sud-est del Comune di Borgo Valsugana.</w:t>
      </w:r>
      <w:r>
        <w:rPr>
          <w:rFonts w:ascii="Times New Roman" w:hAnsi="Times New Roman" w:cs="Times New Roman"/>
          <w:sz w:val="24"/>
          <w:szCs w:val="24"/>
        </w:rPr>
        <w:t xml:space="preserve"> </w:t>
      </w:r>
      <w:proofErr w:type="gramStart"/>
      <w:r w:rsidRPr="00C26C8C">
        <w:rPr>
          <w:rFonts w:ascii="Times New Roman" w:hAnsi="Times New Roman" w:cs="Times New Roman"/>
          <w:sz w:val="24"/>
          <w:szCs w:val="24"/>
        </w:rPr>
        <w:t>E’</w:t>
      </w:r>
      <w:proofErr w:type="gramEnd"/>
      <w:r w:rsidRPr="00C26C8C">
        <w:rPr>
          <w:rFonts w:ascii="Times New Roman" w:hAnsi="Times New Roman" w:cs="Times New Roman"/>
          <w:sz w:val="24"/>
          <w:szCs w:val="24"/>
        </w:rPr>
        <w:t xml:space="preserve"> stato costruito sulla base della Concessione di Edificare N°8128/1992 e</w:t>
      </w:r>
      <w:r>
        <w:rPr>
          <w:rFonts w:ascii="Times New Roman" w:hAnsi="Times New Roman" w:cs="Times New Roman"/>
          <w:sz w:val="24"/>
          <w:szCs w:val="24"/>
        </w:rPr>
        <w:t xml:space="preserve"> </w:t>
      </w:r>
      <w:r w:rsidRPr="00C26C8C">
        <w:rPr>
          <w:rFonts w:ascii="Times New Roman" w:hAnsi="Times New Roman" w:cs="Times New Roman"/>
          <w:sz w:val="24"/>
          <w:szCs w:val="24"/>
        </w:rPr>
        <w:t>successive varianti (vedasi titoli edilizi allegati).</w:t>
      </w:r>
    </w:p>
    <w:p w14:paraId="67A7AA75" w14:textId="236F37B4" w:rsidR="00C26C8C" w:rsidRPr="00C26C8C"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L’immobile è formato da un piano interrato destinato a garage e vani</w:t>
      </w:r>
      <w:r w:rsidR="001A196B">
        <w:rPr>
          <w:rFonts w:ascii="Times New Roman" w:hAnsi="Times New Roman" w:cs="Times New Roman"/>
          <w:sz w:val="24"/>
          <w:szCs w:val="24"/>
        </w:rPr>
        <w:t xml:space="preserve"> </w:t>
      </w:r>
      <w:r w:rsidRPr="00C26C8C">
        <w:rPr>
          <w:rFonts w:ascii="Times New Roman" w:hAnsi="Times New Roman" w:cs="Times New Roman"/>
          <w:sz w:val="24"/>
          <w:szCs w:val="24"/>
        </w:rPr>
        <w:t>accessori, un piano terra ed un piano primo destinato a residenza per un</w:t>
      </w:r>
      <w:r w:rsidR="001A196B">
        <w:rPr>
          <w:rFonts w:ascii="Times New Roman" w:hAnsi="Times New Roman" w:cs="Times New Roman"/>
          <w:sz w:val="24"/>
          <w:szCs w:val="24"/>
        </w:rPr>
        <w:t xml:space="preserve"> </w:t>
      </w:r>
      <w:r w:rsidRPr="00C26C8C">
        <w:rPr>
          <w:rFonts w:ascii="Times New Roman" w:hAnsi="Times New Roman" w:cs="Times New Roman"/>
          <w:sz w:val="24"/>
          <w:szCs w:val="24"/>
        </w:rPr>
        <w:t>totale di sei appartamenti ed un piano sottotetto destinato a soffitte e locali</w:t>
      </w:r>
      <w:r w:rsidR="001A196B">
        <w:rPr>
          <w:rFonts w:ascii="Times New Roman" w:hAnsi="Times New Roman" w:cs="Times New Roman"/>
          <w:sz w:val="24"/>
          <w:szCs w:val="24"/>
        </w:rPr>
        <w:t xml:space="preserve"> </w:t>
      </w:r>
      <w:r w:rsidRPr="00C26C8C">
        <w:rPr>
          <w:rFonts w:ascii="Times New Roman" w:hAnsi="Times New Roman" w:cs="Times New Roman"/>
          <w:sz w:val="24"/>
          <w:szCs w:val="24"/>
        </w:rPr>
        <w:t>caldaia.</w:t>
      </w:r>
    </w:p>
    <w:p w14:paraId="794ED035" w14:textId="589301B1" w:rsidR="00C26C8C" w:rsidRPr="00C26C8C"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Strutturalmente è stato realizzato con una struttura portante in calcestruzzo</w:t>
      </w:r>
      <w:r w:rsidR="001A196B">
        <w:rPr>
          <w:rFonts w:ascii="Times New Roman" w:hAnsi="Times New Roman" w:cs="Times New Roman"/>
          <w:sz w:val="24"/>
          <w:szCs w:val="24"/>
        </w:rPr>
        <w:t xml:space="preserve"> </w:t>
      </w:r>
      <w:r w:rsidRPr="00C26C8C">
        <w:rPr>
          <w:rFonts w:ascii="Times New Roman" w:hAnsi="Times New Roman" w:cs="Times New Roman"/>
          <w:sz w:val="24"/>
          <w:szCs w:val="24"/>
        </w:rPr>
        <w:t>armato, con tamponamenti in mattoni e solai in latero cemento.</w:t>
      </w:r>
    </w:p>
    <w:p w14:paraId="332A73E5" w14:textId="0EE4E950" w:rsidR="00C26C8C" w:rsidRDefault="00C26C8C" w:rsidP="00C26C8C">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 xml:space="preserve">La P.F. 2544/2 si configura come una strada sterrata che </w:t>
      </w:r>
      <w:proofErr w:type="spellStart"/>
      <w:r w:rsidRPr="00C26C8C">
        <w:rPr>
          <w:rFonts w:ascii="Times New Roman" w:hAnsi="Times New Roman" w:cs="Times New Roman"/>
          <w:sz w:val="24"/>
          <w:szCs w:val="24"/>
        </w:rPr>
        <w:t>da</w:t>
      </w:r>
      <w:proofErr w:type="spellEnd"/>
      <w:r w:rsidRPr="00C26C8C">
        <w:rPr>
          <w:rFonts w:ascii="Times New Roman" w:hAnsi="Times New Roman" w:cs="Times New Roman"/>
          <w:sz w:val="24"/>
          <w:szCs w:val="24"/>
        </w:rPr>
        <w:t xml:space="preserve"> accesso sia alla</w:t>
      </w:r>
      <w:r w:rsidR="001A196B">
        <w:rPr>
          <w:rFonts w:ascii="Times New Roman" w:hAnsi="Times New Roman" w:cs="Times New Roman"/>
          <w:sz w:val="24"/>
          <w:szCs w:val="24"/>
        </w:rPr>
        <w:t xml:space="preserve"> </w:t>
      </w:r>
      <w:r w:rsidRPr="00C26C8C">
        <w:rPr>
          <w:rFonts w:ascii="Times New Roman" w:hAnsi="Times New Roman" w:cs="Times New Roman"/>
          <w:sz w:val="24"/>
          <w:szCs w:val="24"/>
        </w:rPr>
        <w:t>P.ED. 2588 che alla PP.ED. 2197,2198,2199 e 2200.</w:t>
      </w:r>
      <w:r w:rsidR="001A196B" w:rsidRPr="001A196B">
        <w:rPr>
          <w:rFonts w:ascii="Times New Roman" w:eastAsiaTheme="minorHAnsi" w:hAnsi="Times New Roman" w:cs="Times New Roman"/>
          <w:sz w:val="24"/>
          <w:szCs w:val="24"/>
          <w:lang w:eastAsia="en-US"/>
          <w14:ligatures w14:val="standardContextual"/>
        </w:rPr>
        <w:t xml:space="preserve"> </w:t>
      </w:r>
      <w:r w:rsidR="001A196B" w:rsidRPr="001A196B">
        <w:rPr>
          <w:rFonts w:ascii="Times New Roman" w:hAnsi="Times New Roman" w:cs="Times New Roman"/>
          <w:sz w:val="24"/>
          <w:szCs w:val="24"/>
        </w:rPr>
        <w:t xml:space="preserve">L’immobile dispone di </w:t>
      </w:r>
      <w:proofErr w:type="gramStart"/>
      <w:r w:rsidR="001A196B" w:rsidRPr="001A196B">
        <w:rPr>
          <w:rFonts w:ascii="Times New Roman" w:hAnsi="Times New Roman" w:cs="Times New Roman"/>
          <w:sz w:val="24"/>
          <w:szCs w:val="24"/>
        </w:rPr>
        <w:t>un anditi</w:t>
      </w:r>
      <w:proofErr w:type="gramEnd"/>
      <w:r w:rsidR="001A196B" w:rsidRPr="001A196B">
        <w:rPr>
          <w:rFonts w:ascii="Times New Roman" w:hAnsi="Times New Roman" w:cs="Times New Roman"/>
          <w:sz w:val="24"/>
          <w:szCs w:val="24"/>
        </w:rPr>
        <w:t xml:space="preserve"> esterni comuni alle PP.MM. da 1 a 6.</w:t>
      </w:r>
    </w:p>
    <w:p w14:paraId="1912F6C7"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0791FB86" w14:textId="7B9EF438"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DESCRIZIONE INTERNA </w:t>
      </w:r>
    </w:p>
    <w:p w14:paraId="315EDEC6" w14:textId="1C971519" w:rsidR="001A196B" w:rsidRDefault="006920C9" w:rsidP="006920C9">
      <w:pPr>
        <w:autoSpaceDE w:val="0"/>
        <w:autoSpaceDN w:val="0"/>
        <w:adjustRightInd w:val="0"/>
        <w:jc w:val="both"/>
        <w:rPr>
          <w:rFonts w:ascii="Times New Roman" w:hAnsi="Times New Roman" w:cs="Times New Roman"/>
          <w:sz w:val="24"/>
          <w:szCs w:val="24"/>
        </w:rPr>
      </w:pPr>
      <w:r w:rsidRPr="006920C9">
        <w:rPr>
          <w:rFonts w:ascii="Times New Roman" w:hAnsi="Times New Roman" w:cs="Times New Roman"/>
          <w:sz w:val="24"/>
          <w:szCs w:val="24"/>
        </w:rPr>
        <w:t>Il bene oggetto di stima si trova al piano interrato della P.ED. 2588 ed è</w:t>
      </w:r>
      <w:r>
        <w:rPr>
          <w:rFonts w:ascii="Times New Roman" w:hAnsi="Times New Roman" w:cs="Times New Roman"/>
          <w:sz w:val="24"/>
          <w:szCs w:val="24"/>
        </w:rPr>
        <w:t xml:space="preserve"> </w:t>
      </w:r>
      <w:r w:rsidRPr="006920C9">
        <w:rPr>
          <w:rFonts w:ascii="Times New Roman" w:hAnsi="Times New Roman" w:cs="Times New Roman"/>
          <w:sz w:val="24"/>
          <w:szCs w:val="24"/>
        </w:rPr>
        <w:t>raggiungibile dalla rampa d’accesso esterna comune.</w:t>
      </w:r>
      <w:r w:rsidRPr="006920C9">
        <w:rPr>
          <w:rFonts w:ascii="Times New Roman" w:eastAsiaTheme="minorHAnsi" w:hAnsi="Times New Roman" w:cs="Times New Roman"/>
          <w:sz w:val="24"/>
          <w:szCs w:val="24"/>
          <w:lang w:eastAsia="en-US"/>
          <w14:ligatures w14:val="standardContextual"/>
        </w:rPr>
        <w:t xml:space="preserve"> </w:t>
      </w:r>
      <w:r w:rsidRPr="006920C9">
        <w:rPr>
          <w:rFonts w:ascii="Times New Roman" w:hAnsi="Times New Roman" w:cs="Times New Roman"/>
          <w:sz w:val="24"/>
          <w:szCs w:val="24"/>
        </w:rPr>
        <w:t xml:space="preserve">Al momento del sopralluogo troviamo un posto auto </w:t>
      </w:r>
      <w:proofErr w:type="gramStart"/>
      <w:r w:rsidRPr="006920C9">
        <w:rPr>
          <w:rFonts w:ascii="Times New Roman" w:hAnsi="Times New Roman" w:cs="Times New Roman"/>
          <w:sz w:val="24"/>
          <w:szCs w:val="24"/>
        </w:rPr>
        <w:t>della dimensioni</w:t>
      </w:r>
      <w:proofErr w:type="gramEnd"/>
      <w:r w:rsidRPr="006920C9">
        <w:rPr>
          <w:rFonts w:ascii="Times New Roman" w:hAnsi="Times New Roman" w:cs="Times New Roman"/>
          <w:sz w:val="24"/>
          <w:szCs w:val="24"/>
        </w:rPr>
        <w:t xml:space="preserve"> di 2.75 mt</w:t>
      </w:r>
      <w:r>
        <w:rPr>
          <w:rFonts w:ascii="Times New Roman" w:hAnsi="Times New Roman" w:cs="Times New Roman"/>
          <w:sz w:val="24"/>
          <w:szCs w:val="24"/>
        </w:rPr>
        <w:t xml:space="preserve"> </w:t>
      </w:r>
      <w:r w:rsidRPr="006920C9">
        <w:rPr>
          <w:rFonts w:ascii="Times New Roman" w:hAnsi="Times New Roman" w:cs="Times New Roman"/>
          <w:sz w:val="24"/>
          <w:szCs w:val="24"/>
        </w:rPr>
        <w:t>x 5.05 mt, per una superficie netta di circa 14 mq.</w:t>
      </w:r>
    </w:p>
    <w:p w14:paraId="6F4A1D0A" w14:textId="0A088758" w:rsidR="006920C9" w:rsidRPr="006920C9" w:rsidRDefault="00C965C1" w:rsidP="006920C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Portone d’accesso in alluminio. </w:t>
      </w:r>
      <w:r w:rsidR="006920C9">
        <w:rPr>
          <w:rFonts w:ascii="Times New Roman" w:hAnsi="Times New Roman" w:cs="Times New Roman"/>
          <w:sz w:val="24"/>
          <w:szCs w:val="24"/>
        </w:rPr>
        <w:t>Solaio in</w:t>
      </w:r>
      <w:r w:rsidR="006920C9" w:rsidRPr="006920C9">
        <w:rPr>
          <w:rFonts w:ascii="Times New Roman" w:hAnsi="Times New Roman" w:cs="Times New Roman"/>
          <w:sz w:val="24"/>
          <w:szCs w:val="24"/>
        </w:rPr>
        <w:t xml:space="preserve"> </w:t>
      </w:r>
      <w:proofErr w:type="spellStart"/>
      <w:r w:rsidR="006920C9" w:rsidRPr="006920C9">
        <w:rPr>
          <w:rFonts w:ascii="Times New Roman" w:hAnsi="Times New Roman" w:cs="Times New Roman"/>
          <w:sz w:val="24"/>
          <w:szCs w:val="24"/>
        </w:rPr>
        <w:t>predalles</w:t>
      </w:r>
      <w:proofErr w:type="spellEnd"/>
      <w:r w:rsidR="006920C9" w:rsidRPr="006920C9">
        <w:rPr>
          <w:rFonts w:ascii="Times New Roman" w:hAnsi="Times New Roman" w:cs="Times New Roman"/>
          <w:sz w:val="24"/>
          <w:szCs w:val="24"/>
        </w:rPr>
        <w:t>.</w:t>
      </w:r>
      <w:r w:rsidR="006920C9">
        <w:rPr>
          <w:rFonts w:ascii="Times New Roman" w:hAnsi="Times New Roman" w:cs="Times New Roman"/>
          <w:sz w:val="24"/>
          <w:szCs w:val="24"/>
        </w:rPr>
        <w:t xml:space="preserve"> </w:t>
      </w:r>
      <w:r w:rsidR="006920C9" w:rsidRPr="006920C9">
        <w:rPr>
          <w:rFonts w:ascii="Times New Roman" w:hAnsi="Times New Roman" w:cs="Times New Roman"/>
          <w:sz w:val="24"/>
          <w:szCs w:val="24"/>
        </w:rPr>
        <w:t>Struttura portante in cemento armato.</w:t>
      </w:r>
      <w:r w:rsidR="006920C9">
        <w:rPr>
          <w:rFonts w:ascii="Times New Roman" w:hAnsi="Times New Roman" w:cs="Times New Roman"/>
          <w:sz w:val="24"/>
          <w:szCs w:val="24"/>
        </w:rPr>
        <w:t xml:space="preserve"> </w:t>
      </w:r>
      <w:r w:rsidR="006920C9" w:rsidRPr="006920C9">
        <w:rPr>
          <w:rFonts w:ascii="Times New Roman" w:hAnsi="Times New Roman" w:cs="Times New Roman"/>
          <w:sz w:val="24"/>
          <w:szCs w:val="24"/>
        </w:rPr>
        <w:t>Copertura con solaio piano impermeabilizzato</w:t>
      </w:r>
      <w:r w:rsidR="006920C9">
        <w:rPr>
          <w:rFonts w:ascii="Times New Roman" w:hAnsi="Times New Roman" w:cs="Times New Roman"/>
          <w:sz w:val="24"/>
          <w:szCs w:val="24"/>
        </w:rPr>
        <w:t xml:space="preserve">. </w:t>
      </w:r>
      <w:r w:rsidR="006920C9" w:rsidRPr="006920C9">
        <w:rPr>
          <w:rFonts w:ascii="Times New Roman" w:hAnsi="Times New Roman" w:cs="Times New Roman"/>
          <w:sz w:val="24"/>
          <w:szCs w:val="24"/>
        </w:rPr>
        <w:t>Calcestruzzo tipo industriale.</w:t>
      </w:r>
      <w:r w:rsidR="006920C9">
        <w:rPr>
          <w:rFonts w:ascii="Times New Roman" w:hAnsi="Times New Roman" w:cs="Times New Roman"/>
          <w:sz w:val="24"/>
          <w:szCs w:val="24"/>
        </w:rPr>
        <w:t xml:space="preserve"> </w:t>
      </w:r>
      <w:r w:rsidR="006920C9" w:rsidRPr="006920C9">
        <w:rPr>
          <w:rFonts w:ascii="Times New Roman" w:hAnsi="Times New Roman" w:cs="Times New Roman"/>
          <w:sz w:val="24"/>
          <w:szCs w:val="24"/>
        </w:rPr>
        <w:t>Le pareti interne sono in calcestruzzo armato.</w:t>
      </w:r>
    </w:p>
    <w:p w14:paraId="5BB4DFA4" w14:textId="55BA6329" w:rsidR="006920C9" w:rsidRPr="006920C9" w:rsidRDefault="006920C9" w:rsidP="006920C9">
      <w:pPr>
        <w:autoSpaceDE w:val="0"/>
        <w:autoSpaceDN w:val="0"/>
        <w:adjustRightInd w:val="0"/>
        <w:jc w:val="both"/>
        <w:rPr>
          <w:rFonts w:ascii="Times New Roman" w:hAnsi="Times New Roman" w:cs="Times New Roman"/>
          <w:sz w:val="24"/>
          <w:szCs w:val="24"/>
        </w:rPr>
      </w:pPr>
      <w:r w:rsidRPr="006920C9">
        <w:rPr>
          <w:rFonts w:ascii="Times New Roman" w:hAnsi="Times New Roman" w:cs="Times New Roman"/>
          <w:sz w:val="24"/>
          <w:szCs w:val="24"/>
        </w:rPr>
        <w:t>Portone d’accesso in alluminio.</w:t>
      </w:r>
      <w:r>
        <w:rPr>
          <w:rFonts w:ascii="Times New Roman" w:hAnsi="Times New Roman" w:cs="Times New Roman"/>
          <w:sz w:val="24"/>
          <w:szCs w:val="24"/>
        </w:rPr>
        <w:t xml:space="preserve"> </w:t>
      </w:r>
      <w:r w:rsidRPr="006920C9">
        <w:rPr>
          <w:rFonts w:ascii="Times New Roman" w:hAnsi="Times New Roman" w:cs="Times New Roman"/>
          <w:sz w:val="24"/>
          <w:szCs w:val="24"/>
        </w:rPr>
        <w:t>Serramenti interni in pvc.</w:t>
      </w:r>
      <w:r>
        <w:rPr>
          <w:rFonts w:ascii="Times New Roman" w:hAnsi="Times New Roman" w:cs="Times New Roman"/>
          <w:sz w:val="24"/>
          <w:szCs w:val="24"/>
        </w:rPr>
        <w:t xml:space="preserve"> </w:t>
      </w:r>
      <w:r w:rsidRPr="006920C9">
        <w:rPr>
          <w:rFonts w:ascii="Times New Roman" w:hAnsi="Times New Roman" w:cs="Times New Roman"/>
          <w:sz w:val="24"/>
          <w:szCs w:val="24"/>
        </w:rPr>
        <w:t>Unità priva di servizio igienico.</w:t>
      </w:r>
      <w:r>
        <w:rPr>
          <w:rFonts w:ascii="Times New Roman" w:hAnsi="Times New Roman" w:cs="Times New Roman"/>
          <w:sz w:val="24"/>
          <w:szCs w:val="24"/>
        </w:rPr>
        <w:t xml:space="preserve"> </w:t>
      </w:r>
      <w:r w:rsidRPr="006920C9">
        <w:rPr>
          <w:rFonts w:ascii="Times New Roman" w:hAnsi="Times New Roman" w:cs="Times New Roman"/>
          <w:sz w:val="24"/>
          <w:szCs w:val="24"/>
        </w:rPr>
        <w:t>L’unità è priva di impianto di riscaldamento, di acqua calda e di impianto idrico</w:t>
      </w:r>
      <w:r>
        <w:rPr>
          <w:rFonts w:ascii="Times New Roman" w:hAnsi="Times New Roman" w:cs="Times New Roman"/>
          <w:sz w:val="24"/>
          <w:szCs w:val="24"/>
        </w:rPr>
        <w:t xml:space="preserve"> </w:t>
      </w:r>
      <w:r w:rsidRPr="006920C9">
        <w:rPr>
          <w:rFonts w:ascii="Times New Roman" w:hAnsi="Times New Roman" w:cs="Times New Roman"/>
          <w:sz w:val="24"/>
          <w:szCs w:val="24"/>
        </w:rPr>
        <w:t>sanitario.</w:t>
      </w:r>
      <w:r>
        <w:rPr>
          <w:rFonts w:ascii="Times New Roman" w:hAnsi="Times New Roman" w:cs="Times New Roman"/>
          <w:sz w:val="24"/>
          <w:szCs w:val="24"/>
        </w:rPr>
        <w:t xml:space="preserve"> </w:t>
      </w:r>
      <w:r w:rsidRPr="006920C9">
        <w:rPr>
          <w:rFonts w:ascii="Times New Roman" w:hAnsi="Times New Roman" w:cs="Times New Roman"/>
          <w:sz w:val="24"/>
          <w:szCs w:val="24"/>
        </w:rPr>
        <w:t>Impianto elettrico a vista.</w:t>
      </w:r>
      <w:r>
        <w:rPr>
          <w:rFonts w:ascii="Times New Roman" w:hAnsi="Times New Roman" w:cs="Times New Roman"/>
          <w:sz w:val="24"/>
          <w:szCs w:val="24"/>
        </w:rPr>
        <w:t xml:space="preserve"> </w:t>
      </w:r>
      <w:r w:rsidRPr="006920C9">
        <w:rPr>
          <w:rFonts w:ascii="Times New Roman" w:hAnsi="Times New Roman" w:cs="Times New Roman"/>
          <w:sz w:val="24"/>
          <w:szCs w:val="24"/>
        </w:rPr>
        <w:t>Locale utilizzabile quale parcheggio.</w:t>
      </w:r>
      <w:r>
        <w:rPr>
          <w:rFonts w:ascii="Times New Roman" w:hAnsi="Times New Roman" w:cs="Times New Roman"/>
          <w:sz w:val="24"/>
          <w:szCs w:val="24"/>
        </w:rPr>
        <w:t xml:space="preserve"> </w:t>
      </w:r>
      <w:r w:rsidRPr="006920C9">
        <w:rPr>
          <w:rFonts w:ascii="Times New Roman" w:hAnsi="Times New Roman" w:cs="Times New Roman"/>
          <w:sz w:val="24"/>
          <w:szCs w:val="24"/>
        </w:rPr>
        <w:t>Dalla ricerca non è stato reperito l’attestato di prestazione energetica</w:t>
      </w:r>
    </w:p>
    <w:p w14:paraId="2F34E358" w14:textId="77777777" w:rsidR="005B1DF5" w:rsidRDefault="005B1DF5" w:rsidP="005B1DF5">
      <w:pPr>
        <w:autoSpaceDE w:val="0"/>
        <w:autoSpaceDN w:val="0"/>
        <w:adjustRightInd w:val="0"/>
        <w:jc w:val="both"/>
        <w:rPr>
          <w:rFonts w:ascii="Times New Roman" w:hAnsi="Times New Roman" w:cs="Times New Roman"/>
          <w:sz w:val="24"/>
          <w:szCs w:val="24"/>
        </w:rPr>
      </w:pPr>
    </w:p>
    <w:p w14:paraId="01C4EABA" w14:textId="2DC6659C"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CONFORMITÀ URBANISTICA </w:t>
      </w:r>
    </w:p>
    <w:p w14:paraId="5C00F6B0" w14:textId="70D90682" w:rsidR="006920C9" w:rsidRPr="006920C9" w:rsidRDefault="006920C9" w:rsidP="006920C9">
      <w:pPr>
        <w:autoSpaceDE w:val="0"/>
        <w:autoSpaceDN w:val="0"/>
        <w:adjustRightInd w:val="0"/>
        <w:jc w:val="both"/>
        <w:rPr>
          <w:rFonts w:ascii="Times New Roman" w:hAnsi="Times New Roman" w:cs="Times New Roman"/>
          <w:sz w:val="24"/>
          <w:szCs w:val="24"/>
        </w:rPr>
      </w:pPr>
      <w:r w:rsidRPr="006920C9">
        <w:rPr>
          <w:rFonts w:ascii="Times New Roman" w:hAnsi="Times New Roman" w:cs="Times New Roman"/>
          <w:sz w:val="24"/>
          <w:szCs w:val="24"/>
        </w:rPr>
        <w:t>Nessuna agibilità collegata</w:t>
      </w:r>
      <w:r>
        <w:rPr>
          <w:rFonts w:ascii="Times New Roman" w:hAnsi="Times New Roman" w:cs="Times New Roman"/>
          <w:sz w:val="24"/>
          <w:szCs w:val="24"/>
        </w:rPr>
        <w:t xml:space="preserve">. </w:t>
      </w:r>
      <w:r w:rsidRPr="006920C9">
        <w:rPr>
          <w:rFonts w:ascii="Times New Roman" w:hAnsi="Times New Roman" w:cs="Times New Roman"/>
          <w:sz w:val="24"/>
          <w:szCs w:val="24"/>
        </w:rPr>
        <w:t>Unità dotata di impianto elettrico condominiale. Le certificazioni sono state</w:t>
      </w:r>
      <w:r>
        <w:rPr>
          <w:rFonts w:ascii="Times New Roman" w:hAnsi="Times New Roman" w:cs="Times New Roman"/>
          <w:sz w:val="24"/>
          <w:szCs w:val="24"/>
        </w:rPr>
        <w:t xml:space="preserve"> </w:t>
      </w:r>
      <w:r w:rsidRPr="006920C9">
        <w:rPr>
          <w:rFonts w:ascii="Times New Roman" w:hAnsi="Times New Roman" w:cs="Times New Roman"/>
          <w:sz w:val="24"/>
          <w:szCs w:val="24"/>
        </w:rPr>
        <w:t>depositate presso il Comune di Borgo Valsugana contestualmente alla domanda di</w:t>
      </w:r>
      <w:r>
        <w:rPr>
          <w:rFonts w:ascii="Times New Roman" w:hAnsi="Times New Roman" w:cs="Times New Roman"/>
          <w:sz w:val="24"/>
          <w:szCs w:val="24"/>
        </w:rPr>
        <w:t xml:space="preserve"> </w:t>
      </w:r>
      <w:r w:rsidRPr="006920C9">
        <w:rPr>
          <w:rFonts w:ascii="Times New Roman" w:hAnsi="Times New Roman" w:cs="Times New Roman"/>
          <w:sz w:val="24"/>
          <w:szCs w:val="24"/>
        </w:rPr>
        <w:t>abitabilità.</w:t>
      </w:r>
    </w:p>
    <w:p w14:paraId="5A4945B4" w14:textId="0EFA392C" w:rsidR="006920C9" w:rsidRDefault="006920C9" w:rsidP="005B1DF5">
      <w:pPr>
        <w:autoSpaceDE w:val="0"/>
        <w:autoSpaceDN w:val="0"/>
        <w:adjustRightInd w:val="0"/>
        <w:jc w:val="both"/>
        <w:rPr>
          <w:rFonts w:ascii="Times New Roman" w:hAnsi="Times New Roman" w:cs="Times New Roman"/>
          <w:sz w:val="24"/>
          <w:szCs w:val="24"/>
        </w:rPr>
      </w:pPr>
      <w:r w:rsidRPr="006920C9">
        <w:rPr>
          <w:rFonts w:ascii="Times New Roman" w:hAnsi="Times New Roman" w:cs="Times New Roman"/>
          <w:sz w:val="24"/>
          <w:szCs w:val="24"/>
        </w:rPr>
        <w:t>Unità priva di certificazione energetica.</w:t>
      </w:r>
      <w:r>
        <w:rPr>
          <w:rFonts w:ascii="Times New Roman" w:hAnsi="Times New Roman" w:cs="Times New Roman"/>
          <w:sz w:val="24"/>
          <w:szCs w:val="24"/>
        </w:rPr>
        <w:t xml:space="preserve"> </w:t>
      </w:r>
      <w:r w:rsidRPr="006920C9">
        <w:rPr>
          <w:rFonts w:ascii="Times New Roman" w:hAnsi="Times New Roman" w:cs="Times New Roman"/>
          <w:sz w:val="24"/>
          <w:szCs w:val="24"/>
        </w:rPr>
        <w:t>Dal raffronto tra lo stato di fatto e le planimetrie catastali depositate presso</w:t>
      </w:r>
      <w:r>
        <w:rPr>
          <w:rFonts w:ascii="Times New Roman" w:hAnsi="Times New Roman" w:cs="Times New Roman"/>
          <w:sz w:val="24"/>
          <w:szCs w:val="24"/>
        </w:rPr>
        <w:t xml:space="preserve"> </w:t>
      </w:r>
      <w:r w:rsidRPr="006920C9">
        <w:rPr>
          <w:rFonts w:ascii="Times New Roman" w:hAnsi="Times New Roman" w:cs="Times New Roman"/>
          <w:sz w:val="24"/>
          <w:szCs w:val="24"/>
        </w:rPr>
        <w:t>l’Ufficio del Catasto non si ravvisano difformità.</w:t>
      </w:r>
      <w:r>
        <w:rPr>
          <w:rFonts w:ascii="Times New Roman" w:hAnsi="Times New Roman" w:cs="Times New Roman"/>
          <w:sz w:val="24"/>
          <w:szCs w:val="24"/>
        </w:rPr>
        <w:t xml:space="preserve"> </w:t>
      </w:r>
      <w:r w:rsidRPr="006920C9">
        <w:rPr>
          <w:rFonts w:ascii="Times New Roman" w:hAnsi="Times New Roman" w:cs="Times New Roman"/>
          <w:sz w:val="24"/>
          <w:szCs w:val="24"/>
        </w:rPr>
        <w:t xml:space="preserve">Dal raffronto tra lo stato di fatto e le planimetrie </w:t>
      </w:r>
      <w:proofErr w:type="spellStart"/>
      <w:r w:rsidRPr="006920C9">
        <w:rPr>
          <w:rFonts w:ascii="Times New Roman" w:hAnsi="Times New Roman" w:cs="Times New Roman"/>
          <w:sz w:val="24"/>
          <w:szCs w:val="24"/>
        </w:rPr>
        <w:t>tavolari</w:t>
      </w:r>
      <w:proofErr w:type="spellEnd"/>
      <w:r w:rsidRPr="006920C9">
        <w:rPr>
          <w:rFonts w:ascii="Times New Roman" w:hAnsi="Times New Roman" w:cs="Times New Roman"/>
          <w:sz w:val="24"/>
          <w:szCs w:val="24"/>
        </w:rPr>
        <w:t xml:space="preserve"> depositate presso</w:t>
      </w:r>
      <w:r>
        <w:rPr>
          <w:rFonts w:ascii="Times New Roman" w:hAnsi="Times New Roman" w:cs="Times New Roman"/>
          <w:sz w:val="24"/>
          <w:szCs w:val="24"/>
        </w:rPr>
        <w:t xml:space="preserve"> </w:t>
      </w:r>
      <w:r w:rsidRPr="006920C9">
        <w:rPr>
          <w:rFonts w:ascii="Times New Roman" w:hAnsi="Times New Roman" w:cs="Times New Roman"/>
          <w:sz w:val="24"/>
          <w:szCs w:val="24"/>
        </w:rPr>
        <w:t>l’Ufficio del Catasto non ci sono difformità.</w:t>
      </w:r>
    </w:p>
    <w:p w14:paraId="531C488E" w14:textId="77777777" w:rsidR="002040B1" w:rsidRDefault="002040B1" w:rsidP="005B1DF5">
      <w:pPr>
        <w:autoSpaceDE w:val="0"/>
        <w:autoSpaceDN w:val="0"/>
        <w:adjustRightInd w:val="0"/>
        <w:jc w:val="both"/>
        <w:rPr>
          <w:rFonts w:ascii="Times New Roman" w:hAnsi="Times New Roman" w:cs="Times New Roman"/>
          <w:sz w:val="24"/>
          <w:szCs w:val="24"/>
        </w:rPr>
      </w:pPr>
    </w:p>
    <w:p w14:paraId="5C0652AF" w14:textId="77777777" w:rsidR="006920C9" w:rsidRDefault="006920C9" w:rsidP="005B1DF5">
      <w:pPr>
        <w:autoSpaceDE w:val="0"/>
        <w:autoSpaceDN w:val="0"/>
        <w:adjustRightInd w:val="0"/>
        <w:jc w:val="both"/>
        <w:rPr>
          <w:rFonts w:ascii="Times New Roman" w:hAnsi="Times New Roman" w:cs="Times New Roman"/>
          <w:sz w:val="24"/>
          <w:szCs w:val="24"/>
        </w:rPr>
      </w:pPr>
    </w:p>
    <w:p w14:paraId="62F68B42" w14:textId="77777777" w:rsidR="006920C9" w:rsidRDefault="006920C9" w:rsidP="005B1DF5">
      <w:pPr>
        <w:autoSpaceDE w:val="0"/>
        <w:autoSpaceDN w:val="0"/>
        <w:adjustRightInd w:val="0"/>
        <w:jc w:val="both"/>
        <w:rPr>
          <w:rFonts w:ascii="Times New Roman" w:hAnsi="Times New Roman" w:cs="Times New Roman"/>
          <w:sz w:val="24"/>
          <w:szCs w:val="24"/>
        </w:rPr>
      </w:pPr>
    </w:p>
    <w:p w14:paraId="42B14CF0" w14:textId="77777777" w:rsidR="006920C9" w:rsidRDefault="006920C9" w:rsidP="005B1DF5">
      <w:pPr>
        <w:autoSpaceDE w:val="0"/>
        <w:autoSpaceDN w:val="0"/>
        <w:adjustRightInd w:val="0"/>
        <w:jc w:val="both"/>
        <w:rPr>
          <w:rFonts w:ascii="Times New Roman" w:hAnsi="Times New Roman" w:cs="Times New Roman"/>
          <w:sz w:val="24"/>
          <w:szCs w:val="24"/>
        </w:rPr>
      </w:pPr>
    </w:p>
    <w:p w14:paraId="70E12A9E"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70CDB4A1" w14:textId="77777777" w:rsidR="005B1DF5"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       </w:t>
      </w:r>
    </w:p>
    <w:p w14:paraId="518ED5F0" w14:textId="674F408B" w:rsidR="002040B1"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lastRenderedPageBreak/>
        <w:t xml:space="preserve">CONFORMITÀ CATASTALE </w:t>
      </w:r>
    </w:p>
    <w:p w14:paraId="41A9326F" w14:textId="77777777" w:rsidR="002040B1" w:rsidRPr="002040B1" w:rsidRDefault="002040B1" w:rsidP="002040B1">
      <w:pPr>
        <w:autoSpaceDE w:val="0"/>
        <w:autoSpaceDN w:val="0"/>
        <w:adjustRightInd w:val="0"/>
        <w:jc w:val="both"/>
        <w:rPr>
          <w:rFonts w:ascii="Times New Roman" w:hAnsi="Times New Roman" w:cs="Times New Roman"/>
          <w:sz w:val="24"/>
          <w:szCs w:val="24"/>
        </w:rPr>
      </w:pPr>
      <w:r w:rsidRPr="002040B1">
        <w:rPr>
          <w:rFonts w:ascii="Times New Roman" w:hAnsi="Times New Roman" w:cs="Times New Roman"/>
          <w:sz w:val="24"/>
          <w:szCs w:val="24"/>
        </w:rPr>
        <w:t>Al valore dell’immobile (€ 16.000,00) sarà detratto un 5% dovuto a vizi occulti, pari ad € 800,00-.</w:t>
      </w:r>
    </w:p>
    <w:p w14:paraId="1B2448BC" w14:textId="56FEFB44" w:rsidR="002040B1" w:rsidRPr="002040B1" w:rsidRDefault="002040B1" w:rsidP="002040B1">
      <w:pPr>
        <w:autoSpaceDE w:val="0"/>
        <w:autoSpaceDN w:val="0"/>
        <w:adjustRightInd w:val="0"/>
        <w:jc w:val="both"/>
        <w:rPr>
          <w:rFonts w:ascii="Times New Roman" w:hAnsi="Times New Roman" w:cs="Times New Roman"/>
          <w:sz w:val="24"/>
          <w:szCs w:val="24"/>
        </w:rPr>
      </w:pPr>
      <w:r w:rsidRPr="002040B1">
        <w:rPr>
          <w:rFonts w:ascii="Times New Roman" w:hAnsi="Times New Roman" w:cs="Times New Roman"/>
          <w:sz w:val="24"/>
          <w:szCs w:val="24"/>
        </w:rPr>
        <w:t>Nella cifra sopra indicata è compreso lo sgombero di eventuali beni presenti all'interno.</w:t>
      </w:r>
      <w:r>
        <w:rPr>
          <w:rFonts w:ascii="Times New Roman" w:hAnsi="Times New Roman" w:cs="Times New Roman"/>
          <w:sz w:val="24"/>
          <w:szCs w:val="24"/>
        </w:rPr>
        <w:t xml:space="preserve"> </w:t>
      </w:r>
      <w:r w:rsidRPr="002040B1">
        <w:rPr>
          <w:rFonts w:ascii="Times New Roman" w:hAnsi="Times New Roman" w:cs="Times New Roman"/>
          <w:sz w:val="24"/>
          <w:szCs w:val="24"/>
        </w:rPr>
        <w:t xml:space="preserve">Tutto questo per </w:t>
      </w:r>
      <w:r w:rsidRPr="002040B1">
        <w:rPr>
          <w:rFonts w:ascii="Times New Roman" w:hAnsi="Times New Roman" w:cs="Times New Roman"/>
          <w:i/>
          <w:iCs/>
          <w:sz w:val="24"/>
          <w:szCs w:val="24"/>
        </w:rPr>
        <w:t xml:space="preserve">l’assenza della garanzia per vizi del bene venduto, </w:t>
      </w:r>
      <w:r w:rsidRPr="002040B1">
        <w:rPr>
          <w:rFonts w:ascii="Times New Roman" w:hAnsi="Times New Roman" w:cs="Times New Roman"/>
          <w:sz w:val="24"/>
          <w:szCs w:val="24"/>
        </w:rPr>
        <w:t>come dettato</w:t>
      </w:r>
    </w:p>
    <w:p w14:paraId="5A070DFE" w14:textId="77777777" w:rsidR="002040B1" w:rsidRPr="002040B1" w:rsidRDefault="002040B1" w:rsidP="002040B1">
      <w:pPr>
        <w:autoSpaceDE w:val="0"/>
        <w:autoSpaceDN w:val="0"/>
        <w:adjustRightInd w:val="0"/>
        <w:jc w:val="both"/>
        <w:rPr>
          <w:rFonts w:ascii="Times New Roman" w:hAnsi="Times New Roman" w:cs="Times New Roman"/>
          <w:sz w:val="24"/>
          <w:szCs w:val="24"/>
        </w:rPr>
      </w:pPr>
      <w:r w:rsidRPr="002040B1">
        <w:rPr>
          <w:rFonts w:ascii="Times New Roman" w:hAnsi="Times New Roman" w:cs="Times New Roman"/>
          <w:sz w:val="24"/>
          <w:szCs w:val="24"/>
        </w:rPr>
        <w:t>dall’art. 568 comma 2 del Codice di Procedura Civile.</w:t>
      </w:r>
    </w:p>
    <w:p w14:paraId="7C232B45" w14:textId="0D047A34" w:rsidR="002040B1" w:rsidRPr="002040B1" w:rsidRDefault="002040B1" w:rsidP="002040B1">
      <w:pPr>
        <w:autoSpaceDE w:val="0"/>
        <w:autoSpaceDN w:val="0"/>
        <w:adjustRightInd w:val="0"/>
        <w:jc w:val="both"/>
        <w:rPr>
          <w:rFonts w:ascii="Times New Roman" w:hAnsi="Times New Roman" w:cs="Times New Roman"/>
          <w:b/>
          <w:bCs/>
          <w:sz w:val="24"/>
          <w:szCs w:val="24"/>
        </w:rPr>
      </w:pPr>
      <w:r w:rsidRPr="002040B1">
        <w:rPr>
          <w:rFonts w:ascii="Times New Roman" w:hAnsi="Times New Roman" w:cs="Times New Roman"/>
          <w:b/>
          <w:bCs/>
          <w:sz w:val="24"/>
          <w:szCs w:val="24"/>
        </w:rPr>
        <w:t>Il più probabile valore di mercato specifico, alle condizioni attuali della P.M. 7 della P.ED. 2588 e</w:t>
      </w:r>
      <w:r>
        <w:rPr>
          <w:rFonts w:ascii="Times New Roman" w:hAnsi="Times New Roman" w:cs="Times New Roman"/>
          <w:b/>
          <w:bCs/>
          <w:sz w:val="24"/>
          <w:szCs w:val="24"/>
        </w:rPr>
        <w:t xml:space="preserve"> </w:t>
      </w:r>
      <w:r w:rsidRPr="002040B1">
        <w:rPr>
          <w:rFonts w:ascii="Times New Roman" w:hAnsi="Times New Roman" w:cs="Times New Roman"/>
          <w:b/>
          <w:bCs/>
          <w:sz w:val="24"/>
          <w:szCs w:val="24"/>
        </w:rPr>
        <w:t>della P.F. 2544/1 del Comune Catastale di Borgo Valsugana, site in Via della Madona Nera 15, che</w:t>
      </w:r>
      <w:r>
        <w:rPr>
          <w:rFonts w:ascii="Times New Roman" w:hAnsi="Times New Roman" w:cs="Times New Roman"/>
          <w:b/>
          <w:bCs/>
          <w:sz w:val="24"/>
          <w:szCs w:val="24"/>
        </w:rPr>
        <w:t xml:space="preserve"> </w:t>
      </w:r>
      <w:r w:rsidRPr="002040B1">
        <w:rPr>
          <w:rFonts w:ascii="Times New Roman" w:hAnsi="Times New Roman" w:cs="Times New Roman"/>
          <w:b/>
          <w:bCs/>
          <w:sz w:val="24"/>
          <w:szCs w:val="24"/>
        </w:rPr>
        <w:t>individuano un posto auto coperto della superficie netta di circa 14 mq ed una strada d’accesso della</w:t>
      </w:r>
      <w:r>
        <w:rPr>
          <w:rFonts w:ascii="Times New Roman" w:hAnsi="Times New Roman" w:cs="Times New Roman"/>
          <w:b/>
          <w:bCs/>
          <w:sz w:val="24"/>
          <w:szCs w:val="24"/>
        </w:rPr>
        <w:t xml:space="preserve"> </w:t>
      </w:r>
      <w:r w:rsidRPr="002040B1">
        <w:rPr>
          <w:rFonts w:ascii="Times New Roman" w:hAnsi="Times New Roman" w:cs="Times New Roman"/>
          <w:b/>
          <w:bCs/>
          <w:sz w:val="24"/>
          <w:szCs w:val="24"/>
        </w:rPr>
        <w:t>superficie catastale di 265 mq, nello stato attuale possono essere messe in vendita per un valore</w:t>
      </w:r>
      <w:r>
        <w:rPr>
          <w:rFonts w:ascii="Times New Roman" w:hAnsi="Times New Roman" w:cs="Times New Roman"/>
          <w:b/>
          <w:bCs/>
          <w:sz w:val="24"/>
          <w:szCs w:val="24"/>
        </w:rPr>
        <w:t xml:space="preserve"> </w:t>
      </w:r>
      <w:r w:rsidRPr="002040B1">
        <w:rPr>
          <w:rFonts w:ascii="Times New Roman" w:hAnsi="Times New Roman" w:cs="Times New Roman"/>
          <w:b/>
          <w:bCs/>
          <w:sz w:val="24"/>
          <w:szCs w:val="24"/>
        </w:rPr>
        <w:t>iniziale arrotondato di:</w:t>
      </w:r>
    </w:p>
    <w:p w14:paraId="384643CC" w14:textId="7F5E9228" w:rsidR="005B1DF5" w:rsidRPr="009E5053" w:rsidRDefault="002040B1" w:rsidP="002040B1">
      <w:pPr>
        <w:autoSpaceDE w:val="0"/>
        <w:autoSpaceDN w:val="0"/>
        <w:adjustRightInd w:val="0"/>
        <w:jc w:val="both"/>
        <w:rPr>
          <w:rFonts w:ascii="Times New Roman" w:hAnsi="Times New Roman" w:cs="Times New Roman"/>
          <w:b/>
          <w:bCs/>
          <w:sz w:val="24"/>
          <w:szCs w:val="24"/>
        </w:rPr>
      </w:pPr>
      <w:r w:rsidRPr="002040B1">
        <w:rPr>
          <w:rFonts w:ascii="Times New Roman" w:hAnsi="Times New Roman" w:cs="Times New Roman"/>
          <w:b/>
          <w:bCs/>
          <w:sz w:val="24"/>
          <w:szCs w:val="24"/>
        </w:rPr>
        <w:t>VALORE SPECIFICO INTERA PROPRIETA’ =</w:t>
      </w:r>
      <w:r>
        <w:rPr>
          <w:rFonts w:ascii="Times New Roman" w:hAnsi="Times New Roman" w:cs="Times New Roman"/>
          <w:b/>
          <w:bCs/>
          <w:sz w:val="24"/>
          <w:szCs w:val="24"/>
        </w:rPr>
        <w:t xml:space="preserve"> € 15.000,00</w:t>
      </w:r>
      <w:r w:rsidR="001E261E">
        <w:rPr>
          <w:rFonts w:ascii="Times New Roman" w:hAnsi="Times New Roman" w:cs="Times New Roman"/>
          <w:b/>
          <w:bCs/>
          <w:sz w:val="24"/>
          <w:szCs w:val="24"/>
        </w:rPr>
        <w:t xml:space="preserve"> (Euro quindicimila/00)</w:t>
      </w:r>
    </w:p>
    <w:p w14:paraId="073E4A30" w14:textId="77777777" w:rsidR="002040B1" w:rsidRDefault="002040B1" w:rsidP="005B1DF5">
      <w:pPr>
        <w:widowControl w:val="0"/>
        <w:pBdr>
          <w:top w:val="nil"/>
          <w:left w:val="nil"/>
          <w:bottom w:val="nil"/>
          <w:right w:val="nil"/>
          <w:between w:val="nil"/>
        </w:pBdr>
        <w:ind w:right="754"/>
        <w:jc w:val="both"/>
        <w:rPr>
          <w:rFonts w:ascii="Times New Roman" w:eastAsia="Times New Roman" w:hAnsi="Times New Roman" w:cs="Times New Roman"/>
          <w:b/>
          <w:bCs/>
          <w:color w:val="000000"/>
          <w:sz w:val="24"/>
          <w:szCs w:val="24"/>
        </w:rPr>
      </w:pPr>
    </w:p>
    <w:p w14:paraId="1063FF47" w14:textId="77777777" w:rsidR="002040B1" w:rsidRDefault="002040B1" w:rsidP="005B1DF5">
      <w:pPr>
        <w:widowControl w:val="0"/>
        <w:pBdr>
          <w:top w:val="nil"/>
          <w:left w:val="nil"/>
          <w:bottom w:val="nil"/>
          <w:right w:val="nil"/>
          <w:between w:val="nil"/>
        </w:pBdr>
        <w:ind w:right="754"/>
        <w:jc w:val="both"/>
        <w:rPr>
          <w:rFonts w:ascii="Times New Roman" w:eastAsia="Times New Roman" w:hAnsi="Times New Roman" w:cs="Times New Roman"/>
          <w:b/>
          <w:bCs/>
          <w:color w:val="000000"/>
          <w:sz w:val="24"/>
          <w:szCs w:val="24"/>
        </w:rPr>
      </w:pPr>
    </w:p>
    <w:p w14:paraId="7731B5D6" w14:textId="5B2CC731" w:rsidR="005B1DF5" w:rsidRPr="002040B1" w:rsidRDefault="005B1DF5" w:rsidP="002040B1">
      <w:pPr>
        <w:widowControl w:val="0"/>
        <w:pBdr>
          <w:top w:val="nil"/>
          <w:left w:val="nil"/>
          <w:bottom w:val="nil"/>
          <w:right w:val="nil"/>
          <w:between w:val="nil"/>
        </w:pBdr>
        <w:ind w:right="754"/>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Disponibilità del bene</w:t>
      </w:r>
      <w:r w:rsidRPr="009E5053">
        <w:rPr>
          <w:rFonts w:ascii="Times New Roman" w:eastAsia="Times New Roman" w:hAnsi="Times New Roman" w:cs="Times New Roman"/>
          <w:color w:val="000000"/>
          <w:sz w:val="24"/>
          <w:szCs w:val="24"/>
        </w:rPr>
        <w:t>: Il bene risulta essere libero.</w:t>
      </w:r>
    </w:p>
    <w:p w14:paraId="6E4FE797" w14:textId="0370F913" w:rsid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Prezzo base: Euro </w:t>
      </w:r>
      <w:r w:rsidR="002040B1">
        <w:rPr>
          <w:rFonts w:ascii="Times New Roman" w:eastAsia="Times New Roman" w:hAnsi="Times New Roman" w:cs="Times New Roman"/>
          <w:b/>
          <w:bCs/>
          <w:color w:val="000000"/>
          <w:sz w:val="24"/>
          <w:szCs w:val="24"/>
        </w:rPr>
        <w:t>15</w:t>
      </w:r>
      <w:r w:rsidRPr="009E5053">
        <w:rPr>
          <w:rFonts w:ascii="Times New Roman" w:eastAsia="Times New Roman" w:hAnsi="Times New Roman" w:cs="Times New Roman"/>
          <w:b/>
          <w:bCs/>
          <w:color w:val="000000"/>
          <w:sz w:val="24"/>
          <w:szCs w:val="24"/>
        </w:rPr>
        <w:t xml:space="preserve">.000,00 </w:t>
      </w:r>
    </w:p>
    <w:p w14:paraId="4B745242" w14:textId="23E6F4F4" w:rsidR="005B1DF5" w:rsidRP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Cauzione: </w:t>
      </w:r>
      <w:r w:rsidRPr="009E5053">
        <w:rPr>
          <w:rFonts w:ascii="Times New Roman" w:eastAsia="Times New Roman" w:hAnsi="Times New Roman" w:cs="Times New Roman"/>
          <w:color w:val="000000"/>
          <w:sz w:val="24"/>
          <w:szCs w:val="24"/>
        </w:rPr>
        <w:t>pari al 10% del prezzo offerto</w:t>
      </w:r>
      <w:r w:rsidRPr="009E5053">
        <w:rPr>
          <w:rFonts w:ascii="Times New Roman" w:eastAsia="Times New Roman" w:hAnsi="Times New Roman" w:cs="Times New Roman"/>
          <w:b/>
          <w:bCs/>
          <w:color w:val="000000"/>
          <w:sz w:val="24"/>
          <w:szCs w:val="24"/>
        </w:rPr>
        <w:t xml:space="preserve">. </w:t>
      </w:r>
    </w:p>
    <w:p w14:paraId="48849DFF" w14:textId="77777777"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Diritti d’asta: </w:t>
      </w:r>
      <w:r w:rsidRPr="009E5053">
        <w:rPr>
          <w:rFonts w:ascii="Times New Roman" w:eastAsia="Times New Roman" w:hAnsi="Times New Roman" w:cs="Times New Roman"/>
          <w:color w:val="000000"/>
          <w:sz w:val="24"/>
          <w:szCs w:val="24"/>
        </w:rPr>
        <w:t xml:space="preserve">pari al 5% del prezzo offerto </w:t>
      </w:r>
    </w:p>
    <w:p w14:paraId="22AE0852" w14:textId="46E75E55"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Rilancio minimo di gara: Euro </w:t>
      </w:r>
      <w:r w:rsidR="00EB7AB9">
        <w:rPr>
          <w:rFonts w:ascii="Times New Roman" w:eastAsia="Times New Roman" w:hAnsi="Times New Roman" w:cs="Times New Roman"/>
          <w:b/>
          <w:bCs/>
          <w:color w:val="000000"/>
          <w:sz w:val="24"/>
          <w:szCs w:val="24"/>
        </w:rPr>
        <w:t>500</w:t>
      </w:r>
      <w:r w:rsidRPr="009E5053">
        <w:rPr>
          <w:rFonts w:ascii="Times New Roman" w:eastAsia="Times New Roman" w:hAnsi="Times New Roman" w:cs="Times New Roman"/>
          <w:b/>
          <w:bCs/>
          <w:color w:val="000000"/>
          <w:sz w:val="24"/>
          <w:szCs w:val="24"/>
        </w:rPr>
        <w:t xml:space="preserve">,00  </w:t>
      </w:r>
    </w:p>
    <w:p w14:paraId="7180FC87" w14:textId="77777777" w:rsidR="005B1DF5" w:rsidRDefault="005B1DF5" w:rsidP="00240ECC">
      <w:pPr>
        <w:widowControl w:val="0"/>
        <w:pBdr>
          <w:top w:val="nil"/>
          <w:left w:val="nil"/>
          <w:bottom w:val="nil"/>
          <w:right w:val="nil"/>
          <w:between w:val="nil"/>
        </w:pBdr>
        <w:jc w:val="both"/>
        <w:rPr>
          <w:rFonts w:ascii="Times New Roman" w:eastAsia="Times New Roman" w:hAnsi="Times New Roman" w:cs="Times New Roman"/>
          <w:b/>
          <w:bCs/>
          <w:color w:val="000000"/>
          <w:sz w:val="25"/>
          <w:szCs w:val="25"/>
        </w:rPr>
      </w:pPr>
    </w:p>
    <w:p w14:paraId="1BF67FDA" w14:textId="596B771F" w:rsidR="00240ECC" w:rsidRPr="00240ECC" w:rsidRDefault="00240ECC" w:rsidP="00240ECC">
      <w:pPr>
        <w:widowControl w:val="0"/>
        <w:pBdr>
          <w:top w:val="nil"/>
          <w:left w:val="nil"/>
          <w:bottom w:val="nil"/>
          <w:right w:val="nil"/>
          <w:between w:val="nil"/>
        </w:pBdr>
        <w:jc w:val="center"/>
        <w:rPr>
          <w:rFonts w:ascii="Times New Roman" w:eastAsia="Times New Roman" w:hAnsi="Times New Roman" w:cs="Times New Roman"/>
          <w:b/>
          <w:bCs/>
          <w:color w:val="000000"/>
          <w:sz w:val="25"/>
          <w:szCs w:val="25"/>
        </w:rPr>
      </w:pPr>
      <w:r>
        <w:rPr>
          <w:rFonts w:ascii="Times New Roman" w:eastAsia="Times New Roman" w:hAnsi="Times New Roman" w:cs="Times New Roman"/>
          <w:b/>
          <w:bCs/>
          <w:color w:val="000000"/>
          <w:sz w:val="24"/>
          <w:szCs w:val="24"/>
        </w:rPr>
        <w:t>DETERMINA</w:t>
      </w:r>
    </w:p>
    <w:p w14:paraId="5A938AA9"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seguito le modalità di svolgimento della procedura competitiva e le principali condizioni di vendita. </w:t>
      </w:r>
    </w:p>
    <w:p w14:paraId="37659EA1" w14:textId="77777777" w:rsidR="00240ECC" w:rsidRDefault="00240ECC" w:rsidP="00240ECC">
      <w:pPr>
        <w:widowControl w:val="0"/>
        <w:pBdr>
          <w:top w:val="nil"/>
          <w:left w:val="nil"/>
          <w:bottom w:val="nil"/>
          <w:right w:val="nil"/>
          <w:between w:val="nil"/>
        </w:pBdr>
        <w:spacing w:before="27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 Contenuto dell’offerta ed allegati </w:t>
      </w:r>
    </w:p>
    <w:p w14:paraId="508355C3" w14:textId="2F582B50" w:rsidR="00240ECC" w:rsidRDefault="00240ECC" w:rsidP="00240ECC">
      <w:pPr>
        <w:widowControl w:val="0"/>
        <w:pBdr>
          <w:top w:val="nil"/>
          <w:left w:val="nil"/>
          <w:bottom w:val="nil"/>
          <w:right w:val="nil"/>
          <w:between w:val="nil"/>
        </w:pBdr>
        <w:ind w:right="2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partecipare alla procedura competitiva di vendita ciascun interessato dovrà depositare un’offerta di acquisto per il lotto </w:t>
      </w:r>
      <w:r w:rsidR="00C965C1">
        <w:rPr>
          <w:rFonts w:ascii="Times New Roman" w:eastAsia="Times New Roman" w:hAnsi="Times New Roman" w:cs="Times New Roman"/>
          <w:color w:val="000000"/>
          <w:sz w:val="24"/>
          <w:szCs w:val="24"/>
        </w:rPr>
        <w:t>V</w:t>
      </w:r>
      <w:r>
        <w:rPr>
          <w:rFonts w:ascii="Times New Roman" w:eastAsia="Times New Roman" w:hAnsi="Times New Roman" w:cs="Times New Roman"/>
          <w:color w:val="000000"/>
          <w:sz w:val="24"/>
          <w:szCs w:val="24"/>
        </w:rPr>
        <w:t xml:space="preserve">, come meglio sopra individuato, che intende acquistare ad un prezzo non inferiore al prezzo base di vendita. </w:t>
      </w:r>
    </w:p>
    <w:p w14:paraId="7C3BEFC2"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si svolgerà nella modalità sincrona mista così come definita dall’art. 2 del DM 32/2015 che prevede che i rilanci possono essere formulati sia in modalità cartacea che in modalità telematica. L’offerta di acquisto può essere presentata: </w:t>
      </w:r>
    </w:p>
    <w:p w14:paraId="4706039F"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telematica, previo accesso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selezione del bene di interesse e, tramite il comando “Iscriviti alla vendita”, compilazione del modulo ministeriale di “presentazione offerta. Il “Manuale utente per la presentazione dell’Offerta Telematica” indicante tutti i passaggi necessari per completare la procedura di presentazione dell’offerta in modalità telematica è disponibile nel sito ufficiale del Ministero al seguente indirizzo: https://pst.giustizia.it/PST/resources/cms/documents/ManualeUtenteOfferta06_08_2021.pdf; oppure </w:t>
      </w:r>
    </w:p>
    <w:p w14:paraId="103390A7" w14:textId="50361D11" w:rsidR="00240ECC" w:rsidRP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cartacea, come meglio descritto al punto 2 del presente avviso, presso </w:t>
      </w:r>
      <w:r>
        <w:rPr>
          <w:rFonts w:ascii="Times New Roman" w:eastAsia="Times New Roman" w:hAnsi="Times New Roman" w:cs="Times New Roman"/>
          <w:b/>
          <w:bCs/>
          <w:color w:val="000000"/>
          <w:sz w:val="24"/>
          <w:szCs w:val="24"/>
        </w:rPr>
        <w:t xml:space="preserve">IVGT S.r.l., in Trento, Via Fersina 12/A. </w:t>
      </w:r>
    </w:p>
    <w:p w14:paraId="25412040" w14:textId="77777777" w:rsidR="00240ECC" w:rsidRDefault="00240ECC" w:rsidP="00240ECC">
      <w:pPr>
        <w:widowControl w:val="0"/>
        <w:pBdr>
          <w:top w:val="nil"/>
          <w:left w:val="nil"/>
          <w:bottom w:val="nil"/>
          <w:right w:val="nil"/>
          <w:between w:val="nil"/>
        </w:pBdr>
        <w:spacing w:before="282"/>
        <w:ind w:right="24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offerenti telematici, ovvero che hanno formulato l’offerta con modalità telematiche, partecipano alle operazioni di vendita mediante la connessione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Tra 120 e 180 minuti prima della gara le offerte verranno trasmesse al gestore della vendita. Gli ammessi alla gara riceveranno, 30 minuti prima dell’inizio delle operazioni di vendita, all’indirizzo PEC indicato </w:t>
      </w:r>
      <w:r>
        <w:rPr>
          <w:rFonts w:ascii="Times New Roman" w:eastAsia="Times New Roman" w:hAnsi="Times New Roman" w:cs="Times New Roman"/>
          <w:color w:val="000000"/>
          <w:sz w:val="24"/>
          <w:szCs w:val="24"/>
        </w:rPr>
        <w:lastRenderedPageBreak/>
        <w:t xml:space="preserve">nel modulo ministeriale di offerta, le credenziali per accedere alla vendita in oggetto. Un ulteriore invito a connettersi per partecipare alle operazioni di vendita verrà trasmesso a mezzo SMS al recapito di telefonia mobile fornito nell’offerta.  </w:t>
      </w:r>
    </w:p>
    <w:p w14:paraId="4E7EF8F6" w14:textId="77777777" w:rsidR="00240ECC" w:rsidRDefault="00240ECC" w:rsidP="00240ECC">
      <w:pPr>
        <w:widowControl w:val="0"/>
        <w:pBdr>
          <w:top w:val="nil"/>
          <w:left w:val="nil"/>
          <w:bottom w:val="nil"/>
          <w:right w:val="nil"/>
          <w:between w:val="nil"/>
        </w:pBdr>
        <w:spacing w:before="6"/>
        <w:ind w:right="24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assistenza in merito alla presentazione delle offerte in modalità telematica si potrà contattare il numero 0444 346211 o scrivere all’indirizzo </w:t>
      </w:r>
      <w:r>
        <w:rPr>
          <w:rFonts w:ascii="Times New Roman" w:eastAsia="Times New Roman" w:hAnsi="Times New Roman" w:cs="Times New Roman"/>
          <w:color w:val="0563C1"/>
          <w:sz w:val="24"/>
          <w:szCs w:val="24"/>
          <w:u w:val="single"/>
        </w:rPr>
        <w:t>help@fallco.it.</w:t>
      </w:r>
    </w:p>
    <w:p w14:paraId="7821DAAB" w14:textId="77777777" w:rsidR="00240ECC" w:rsidRDefault="00240ECC" w:rsidP="00240ECC">
      <w:pPr>
        <w:widowControl w:val="0"/>
        <w:pBdr>
          <w:top w:val="nil"/>
          <w:left w:val="nil"/>
          <w:bottom w:val="nil"/>
          <w:right w:val="nil"/>
          <w:between w:val="nil"/>
        </w:pBdr>
        <w:ind w:right="2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Il Commissionario potrà inviare messaggi a tutti i partecipanti, ovvero solo ad alcuni di questi, per avvisarli circa la tempistica di inizio della gara o per altre comunicazioni. I messaggi saranno visualizzati dai partecipanti nella pagina della vendita</w:t>
      </w:r>
      <w:r>
        <w:rPr>
          <w:rFonts w:ascii="Times New Roman" w:eastAsia="Times New Roman" w:hAnsi="Times New Roman" w:cs="Times New Roman"/>
          <w:i/>
          <w:iCs/>
          <w:color w:val="000000"/>
          <w:sz w:val="24"/>
          <w:szCs w:val="24"/>
        </w:rPr>
        <w:t xml:space="preserve">. </w:t>
      </w:r>
    </w:p>
    <w:p w14:paraId="45CEC224" w14:textId="77777777" w:rsidR="00240ECC" w:rsidRDefault="00240ECC" w:rsidP="00240ECC">
      <w:pPr>
        <w:widowControl w:val="0"/>
        <w:pBdr>
          <w:top w:val="nil"/>
          <w:left w:val="nil"/>
          <w:bottom w:val="nil"/>
          <w:right w:val="nil"/>
          <w:between w:val="nil"/>
        </w:pBdr>
        <w:spacing w:before="5"/>
        <w:ind w:right="24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avrà inizio al termine delle operazioni per l’esame delle offerte, salvo eventuali modifiche che verranno tempestivamente comunicate dal Commissionario al termine dell’apertura delle buste a tutti gli offerenti ammessi alla gara. </w:t>
      </w:r>
    </w:p>
    <w:p w14:paraId="5892EAF2" w14:textId="77777777" w:rsidR="00240ECC" w:rsidRDefault="00240ECC" w:rsidP="00240ECC">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potrà contenere anche l’eventuale riserva di nomina di un terzo (artt. 571, 579 e 583 c.p.c.).  </w:t>
      </w:r>
    </w:p>
    <w:p w14:paraId="17D965DF" w14:textId="77777777" w:rsidR="00575CBE"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dichiarazione di nomina dovrà redigersi in forma di scrittura privata autenticata e, oltre che dall’offerente, dovrà essere sottoscritta anche dal terzo per accettazione della nomina stessa, sia delle condizioni di vendita di cui infra. La riserva dovrà essere sciolta e fatta pervenire al Professionista Delegato non oltre i tre giorni successivi all’aggiudicazione. Le previsioni relative al contenuto e agli allegati dell’offerta sono stabilite a pena d’invalidità della stessa e di esclusione dell’offerente dal successivo svolgimento della procedura competitiva. </w:t>
      </w:r>
    </w:p>
    <w:p w14:paraId="67DABCFA" w14:textId="77777777" w:rsid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2D7D8647" w14:textId="0A25D14A" w:rsidR="00575CBE" w:rsidRP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 Termine e modalità di deposito dell’offerta e della cauzione </w:t>
      </w:r>
    </w:p>
    <w:p w14:paraId="43950F76" w14:textId="77777777" w:rsidR="00575CBE" w:rsidRDefault="00575CBE" w:rsidP="00575CBE">
      <w:pPr>
        <w:widowControl w:val="0"/>
        <w:pBdr>
          <w:top w:val="nil"/>
          <w:left w:val="nil"/>
          <w:bottom w:val="nil"/>
          <w:right w:val="nil"/>
          <w:between w:val="nil"/>
        </w:pBdr>
        <w:ind w:right="297"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versare anticipatamente, a titolo di cauzione, una somma pari almeno al </w:t>
      </w:r>
      <w:r>
        <w:rPr>
          <w:rFonts w:ascii="Times New Roman" w:eastAsia="Times New Roman" w:hAnsi="Times New Roman" w:cs="Times New Roman"/>
          <w:b/>
          <w:bCs/>
          <w:color w:val="000000"/>
          <w:sz w:val="24"/>
          <w:szCs w:val="24"/>
        </w:rPr>
        <w:t xml:space="preserve">dieci per cento (10%) del prezzo offerto, </w:t>
      </w:r>
      <w:r>
        <w:rPr>
          <w:rFonts w:ascii="Times New Roman" w:eastAsia="Times New Roman" w:hAnsi="Times New Roman" w:cs="Times New Roman"/>
          <w:color w:val="000000"/>
          <w:sz w:val="24"/>
          <w:szCs w:val="24"/>
        </w:rPr>
        <w:t xml:space="preserve">tramite: </w:t>
      </w:r>
    </w:p>
    <w:p w14:paraId="7474F90D" w14:textId="7777777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telematico: bonifico bancario sul conto corrente </w:t>
      </w:r>
      <w:r>
        <w:rPr>
          <w:rFonts w:ascii="Times New Roman" w:eastAsia="Times New Roman" w:hAnsi="Times New Roman" w:cs="Times New Roman"/>
          <w:b/>
          <w:bCs/>
          <w:color w:val="000000"/>
          <w:sz w:val="24"/>
          <w:szCs w:val="24"/>
        </w:rPr>
        <w:t>IT 59 Y 03268 60160 052147600000</w:t>
      </w:r>
    </w:p>
    <w:p w14:paraId="487EE826" w14:textId="587AA76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BANCA SELLA </w:t>
      </w:r>
    </w:p>
    <w:p w14:paraId="479CE22E"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cartaceo: tramite assegno circolare intestato </w:t>
      </w:r>
      <w:r>
        <w:rPr>
          <w:rFonts w:ascii="Times New Roman" w:eastAsia="Times New Roman" w:hAnsi="Times New Roman" w:cs="Times New Roman"/>
          <w:b/>
          <w:bCs/>
          <w:color w:val="000000"/>
          <w:sz w:val="24"/>
          <w:szCs w:val="24"/>
        </w:rPr>
        <w:t xml:space="preserve">IVGT SRL </w:t>
      </w:r>
    </w:p>
    <w:p w14:paraId="38C95D9C"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Ulteriore bonifico bancario del 5% </w:t>
      </w:r>
      <w:r>
        <w:rPr>
          <w:rFonts w:ascii="Times New Roman" w:eastAsia="Times New Roman" w:hAnsi="Times New Roman" w:cs="Times New Roman"/>
          <w:color w:val="000000"/>
          <w:sz w:val="24"/>
          <w:szCs w:val="24"/>
        </w:rPr>
        <w:t xml:space="preserve">sul prezzo offerto per </w:t>
      </w:r>
      <w:r>
        <w:rPr>
          <w:rFonts w:ascii="Times New Roman" w:eastAsia="Times New Roman" w:hAnsi="Times New Roman" w:cs="Times New Roman"/>
          <w:b/>
          <w:bCs/>
          <w:color w:val="000000"/>
          <w:sz w:val="24"/>
          <w:szCs w:val="24"/>
        </w:rPr>
        <w:t xml:space="preserve">diritti d’asta sul conto corrente sopra indicato. </w:t>
      </w:r>
    </w:p>
    <w:p w14:paraId="7807E88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p>
    <w:p w14:paraId="6E6A0D28" w14:textId="2018F1FB"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Tale importo sarà trattenuto in caso di decadenza dell’aggiudicatario ex art. 587 c.p.c.  </w:t>
      </w:r>
      <w:r>
        <w:rPr>
          <w:rFonts w:ascii="Times New Roman" w:eastAsia="Times New Roman" w:hAnsi="Times New Roman" w:cs="Times New Roman"/>
          <w:b/>
          <w:bCs/>
          <w:color w:val="000000"/>
          <w:sz w:val="24"/>
          <w:szCs w:val="24"/>
        </w:rPr>
        <w:t xml:space="preserve">Il deposito dell’offerta dovrà avvenire entro il giorno 11 DICEMBRE 2026 alle ore 12.00. </w:t>
      </w:r>
    </w:p>
    <w:p w14:paraId="7587B0FD" w14:textId="4DDAEEC9" w:rsidR="00575CBE" w:rsidRDefault="00575CBE" w:rsidP="00575CBE">
      <w:pPr>
        <w:widowControl w:val="0"/>
        <w:pBdr>
          <w:top w:val="nil"/>
          <w:left w:val="nil"/>
          <w:bottom w:val="nil"/>
          <w:right w:val="nil"/>
          <w:between w:val="nil"/>
        </w:pBdr>
        <w:spacing w:before="282"/>
        <w:ind w:right="297" w:firstLine="1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Il bonifico, con causale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xml:space="preserve">. 31/2025 - lotto </w:t>
      </w:r>
      <w:r w:rsidR="002040B1">
        <w:rPr>
          <w:rFonts w:ascii="Times New Roman" w:eastAsia="Times New Roman" w:hAnsi="Times New Roman" w:cs="Times New Roman"/>
          <w:b/>
          <w:bCs/>
          <w:i/>
          <w:iCs/>
          <w:color w:val="000000"/>
          <w:sz w:val="24"/>
          <w:szCs w:val="24"/>
        </w:rPr>
        <w:t>5</w:t>
      </w:r>
      <w:r>
        <w:rPr>
          <w:rFonts w:ascii="Times New Roman" w:eastAsia="Times New Roman" w:hAnsi="Times New Roman" w:cs="Times New Roman"/>
          <w:b/>
          <w:bCs/>
          <w:i/>
          <w:iCs/>
          <w:color w:val="000000"/>
          <w:sz w:val="24"/>
          <w:szCs w:val="24"/>
        </w:rPr>
        <w:t xml:space="preserve"> – Versamento cauzione” </w:t>
      </w:r>
      <w:r>
        <w:rPr>
          <w:rFonts w:ascii="Times New Roman" w:eastAsia="Times New Roman" w:hAnsi="Times New Roman" w:cs="Times New Roman"/>
          <w:color w:val="000000"/>
          <w:sz w:val="24"/>
          <w:szCs w:val="24"/>
        </w:rPr>
        <w:t>ed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31/2025– diritti d’asta”</w:t>
      </w:r>
      <w:r>
        <w:rPr>
          <w:rFonts w:ascii="Times New Roman" w:eastAsia="Times New Roman" w:hAnsi="Times New Roman" w:cs="Times New Roman"/>
          <w:b/>
          <w:bCs/>
          <w:color w:val="000000"/>
          <w:sz w:val="24"/>
          <w:szCs w:val="24"/>
        </w:rPr>
        <w:t xml:space="preserve">, dovranno essere effettuati in modo tale che l’accredito delle somme abbia luogo entro il giorno precedente l’udienza di vendita. </w:t>
      </w:r>
    </w:p>
    <w:p w14:paraId="719DC4AE" w14:textId="77777777" w:rsidR="00575CBE" w:rsidRDefault="00575CBE" w:rsidP="00575CBE">
      <w:pPr>
        <w:widowControl w:val="0"/>
        <w:pBdr>
          <w:top w:val="nil"/>
          <w:left w:val="nil"/>
          <w:bottom w:val="nil"/>
          <w:right w:val="nil"/>
          <w:between w:val="nil"/>
        </w:pBdr>
        <w:spacing w:before="5"/>
        <w:ind w:right="302"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Qualora il giorno fissato per l’udienza di vendita non venga riscontrato l’accredito delle somme sul conto corrente indicato per il versamento delle cauzioni e dei diritti d’asta, l’offerta sarà considerata inammissibile. </w:t>
      </w:r>
    </w:p>
    <w:p w14:paraId="4C8F4145" w14:textId="77777777" w:rsidR="00575CBE" w:rsidRDefault="00575CBE"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telematico deve procedere al pagamento del bollo dovuto per legge (attualmente pari ad € 16,00) in modalità telematica, salvo che sia esentato ai sensi del DPR 447/2000. Il bollo può essere pagato sul portale dei servizi telematici all'indirizzo </w:t>
      </w:r>
      <w:r>
        <w:rPr>
          <w:rFonts w:ascii="Times New Roman" w:eastAsia="Times New Roman" w:hAnsi="Times New Roman" w:cs="Times New Roman"/>
          <w:b/>
          <w:bCs/>
          <w:color w:val="000000"/>
          <w:sz w:val="24"/>
          <w:szCs w:val="24"/>
        </w:rPr>
        <w:t>http://pst.giustizia.it, tramite il servizio “pagamento di bolli digitali", tramite carta di credito o bonifico bancario</w:t>
      </w:r>
      <w:r>
        <w:rPr>
          <w:rFonts w:ascii="Times New Roman" w:eastAsia="Times New Roman" w:hAnsi="Times New Roman" w:cs="Times New Roman"/>
          <w:color w:val="000000"/>
          <w:sz w:val="24"/>
          <w:szCs w:val="24"/>
        </w:rPr>
        <w:t xml:space="preserve">, seguendo le istruzioni indicate nel “manuale utente per la presentazione dell’offerta telematica” reperibile </w:t>
      </w:r>
      <w:r>
        <w:rPr>
          <w:rFonts w:ascii="Times New Roman" w:eastAsia="Times New Roman" w:hAnsi="Times New Roman" w:cs="Times New Roman"/>
          <w:color w:val="000000"/>
          <w:sz w:val="24"/>
          <w:szCs w:val="24"/>
        </w:rPr>
        <w:lastRenderedPageBreak/>
        <w:t xml:space="preserve">sul sito internet pst.giustizia.it. </w:t>
      </w:r>
    </w:p>
    <w:p w14:paraId="2EC7C9DC" w14:textId="77777777" w:rsidR="00575CBE" w:rsidRDefault="00575CBE" w:rsidP="00575CBE">
      <w:pPr>
        <w:widowControl w:val="0"/>
        <w:pBdr>
          <w:top w:val="nil"/>
          <w:left w:val="nil"/>
          <w:bottom w:val="nil"/>
          <w:right w:val="nil"/>
          <w:between w:val="nil"/>
        </w:pBdr>
        <w:spacing w:before="282"/>
        <w:ind w:right="298"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cartaceo deve procedere al pagamento del bollo dovuto per legge (attualmente pari ad € 16,00) applicando la marca da bollo all’offerta presentata, salvo che sia esentato ai sensi del DPR  447/2000. </w:t>
      </w:r>
    </w:p>
    <w:p w14:paraId="4197D5F0" w14:textId="77777777" w:rsidR="00575CBE" w:rsidRDefault="00575CBE" w:rsidP="00575CBE">
      <w:pPr>
        <w:widowControl w:val="0"/>
        <w:pBdr>
          <w:top w:val="nil"/>
          <w:left w:val="nil"/>
          <w:bottom w:val="nil"/>
          <w:right w:val="nil"/>
          <w:between w:val="nil"/>
        </w:pBdr>
        <w:spacing w:before="6"/>
        <w:ind w:right="3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mancata aggiudicazione e all’esito dell’avvio della gara in caso di plurimi offerenti, l’importo versato a titolo di cauzione (al netto degli eventuali oneri bancari) sarà restituito ai soggetti offerenti non aggiudicatari. </w:t>
      </w:r>
    </w:p>
    <w:p w14:paraId="78F729EE" w14:textId="77777777" w:rsidR="00575CBE" w:rsidRDefault="00575CBE" w:rsidP="00575CBE">
      <w:pPr>
        <w:widowControl w:val="0"/>
        <w:pBdr>
          <w:top w:val="nil"/>
          <w:left w:val="nil"/>
          <w:bottom w:val="nil"/>
          <w:right w:val="nil"/>
          <w:between w:val="nil"/>
        </w:pBdr>
        <w:spacing w:before="281"/>
        <w:ind w:right="30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l’offerente telematico, la restituzione avrà luogo esclusivamente mediante bonifico sul conto corrente indicato nel modulo di offerta.</w:t>
      </w:r>
    </w:p>
    <w:p w14:paraId="3D10962F" w14:textId="77777777" w:rsidR="00575CBE" w:rsidRDefault="00575CBE" w:rsidP="00575CBE">
      <w:pPr>
        <w:widowControl w:val="0"/>
        <w:pBdr>
          <w:top w:val="nil"/>
          <w:left w:val="nil"/>
          <w:bottom w:val="nil"/>
          <w:right w:val="nil"/>
          <w:between w:val="nil"/>
        </w:pBdr>
        <w:ind w:right="30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è irrevocabile ai sensi dell’art. 571 comma 3 c.p.c., che si richiama al fine della validità e dell’efficacia della medesima. </w:t>
      </w:r>
    </w:p>
    <w:p w14:paraId="405E5354" w14:textId="77777777" w:rsidR="00575CBE" w:rsidRDefault="00575CBE" w:rsidP="00575CBE">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All’offerta, sia cartacea che telematica, dovranno essere allegati: </w:t>
      </w:r>
    </w:p>
    <w:p w14:paraId="7DAF9793" w14:textId="77777777" w:rsidR="00575CBE" w:rsidRDefault="00575CBE" w:rsidP="00575CBE">
      <w:pPr>
        <w:widowControl w:val="0"/>
        <w:pBdr>
          <w:top w:val="nil"/>
          <w:left w:val="nil"/>
          <w:bottom w:val="nil"/>
          <w:right w:val="nil"/>
          <w:between w:val="nil"/>
        </w:pBdr>
        <w:ind w:right="18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copia del documento d’identità e copia del codice fiscale del soggetto offerente; - l’importo offerto per l’acquisto del bene; </w:t>
      </w:r>
    </w:p>
    <w:p w14:paraId="5456EF57" w14:textId="77777777" w:rsidR="00575CBE" w:rsidRDefault="00575CBE" w:rsidP="00575CBE">
      <w:pPr>
        <w:widowControl w:val="0"/>
        <w:pBdr>
          <w:top w:val="nil"/>
          <w:left w:val="nil"/>
          <w:bottom w:val="nil"/>
          <w:right w:val="nil"/>
          <w:between w:val="nil"/>
        </w:pBdr>
        <w:spacing w:before="6"/>
        <w:ind w:right="299"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documentazione, attestante il versamento (segnatamente, </w:t>
      </w:r>
      <w:r>
        <w:rPr>
          <w:rFonts w:ascii="Times New Roman" w:eastAsia="Times New Roman" w:hAnsi="Times New Roman" w:cs="Times New Roman"/>
          <w:color w:val="000000"/>
          <w:sz w:val="24"/>
          <w:szCs w:val="24"/>
          <w:u w:val="single"/>
        </w:rPr>
        <w:t xml:space="preserve">copia della contabile di avvenuto </w:t>
      </w:r>
      <w:r>
        <w:rPr>
          <w:rFonts w:ascii="Times New Roman" w:eastAsia="Times New Roman" w:hAnsi="Times New Roman" w:cs="Times New Roman"/>
          <w:color w:val="000000"/>
          <w:sz w:val="24"/>
          <w:szCs w:val="24"/>
        </w:rPr>
        <w:t>pagamento</w:t>
      </w:r>
      <w:r>
        <w:rPr>
          <w:rFonts w:ascii="Times New Roman" w:eastAsia="Times New Roman" w:hAnsi="Times New Roman" w:cs="Times New Roman"/>
          <w:color w:val="000000"/>
          <w:sz w:val="24"/>
          <w:szCs w:val="24"/>
          <w:u w:val="single"/>
        </w:rPr>
        <w:t xml:space="preserve"> oppure assegno circolare</w:t>
      </w:r>
      <w:r>
        <w:rPr>
          <w:rFonts w:ascii="Times New Roman" w:eastAsia="Times New Roman" w:hAnsi="Times New Roman" w:cs="Times New Roman"/>
          <w:color w:val="000000"/>
          <w:sz w:val="24"/>
          <w:szCs w:val="24"/>
        </w:rPr>
        <w:t xml:space="preserve">): </w:t>
      </w:r>
    </w:p>
    <w:p w14:paraId="2628D012" w14:textId="77777777" w:rsidR="00575CBE" w:rsidRDefault="00575CBE" w:rsidP="00575CBE">
      <w:pPr>
        <w:widowControl w:val="0"/>
        <w:pBdr>
          <w:top w:val="nil"/>
          <w:left w:val="nil"/>
          <w:bottom w:val="nil"/>
          <w:right w:val="nil"/>
          <w:between w:val="nil"/>
        </w:pBdr>
        <w:spacing w:before="6"/>
        <w:ind w:right="29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richiesta di agevolazioni fiscali (c.d. “prima casa” e/o “prezzo valore”), salva la facoltà di depositarla successivamente all’aggiudicazione ma </w:t>
      </w:r>
      <w:r>
        <w:rPr>
          <w:rFonts w:ascii="Times New Roman" w:eastAsia="Times New Roman" w:hAnsi="Times New Roman" w:cs="Times New Roman"/>
          <w:color w:val="000000"/>
          <w:sz w:val="24"/>
          <w:szCs w:val="24"/>
          <w:u w:val="single"/>
        </w:rPr>
        <w:t>prima</w:t>
      </w:r>
      <w:r>
        <w:rPr>
          <w:rFonts w:ascii="Times New Roman" w:eastAsia="Times New Roman" w:hAnsi="Times New Roman" w:cs="Times New Roman"/>
          <w:color w:val="000000"/>
          <w:sz w:val="24"/>
          <w:szCs w:val="24"/>
        </w:rPr>
        <w:t xml:space="preserve"> del versamento del saldo prezzo (unitamente al quale dovranno essere depositate le spese a carico dell’aggiudicatario </w:t>
      </w:r>
      <w:r>
        <w:rPr>
          <w:rFonts w:ascii="Times New Roman" w:eastAsia="Times New Roman" w:hAnsi="Times New Roman" w:cs="Times New Roman"/>
          <w:i/>
          <w:iCs/>
          <w:color w:val="000000"/>
          <w:sz w:val="24"/>
          <w:szCs w:val="24"/>
        </w:rPr>
        <w:t xml:space="preserve">ex </w:t>
      </w:r>
      <w:r>
        <w:rPr>
          <w:rFonts w:ascii="Times New Roman" w:eastAsia="Times New Roman" w:hAnsi="Times New Roman" w:cs="Times New Roman"/>
          <w:color w:val="000000"/>
          <w:sz w:val="24"/>
          <w:szCs w:val="24"/>
        </w:rPr>
        <w:t xml:space="preserve">art.2, comma settimo del D.M. 227/2015); </w:t>
      </w:r>
    </w:p>
    <w:p w14:paraId="06C318DC" w14:textId="77777777" w:rsidR="00575CBE" w:rsidRDefault="00575CBE" w:rsidP="00575CBE">
      <w:pPr>
        <w:widowControl w:val="0"/>
        <w:pBdr>
          <w:top w:val="nil"/>
          <w:left w:val="nil"/>
          <w:bottom w:val="nil"/>
          <w:right w:val="nil"/>
          <w:between w:val="nil"/>
        </w:pBdr>
        <w:spacing w:before="6"/>
        <w:ind w:right="29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coniugato, in regime di comunione legale dei beni, copia del documento d’identità e copia del codice fiscale del coniuge (salva la facoltà del deposito successivo all’esito dell’aggiudicazione e del versamento del prezzo); </w:t>
      </w:r>
    </w:p>
    <w:p w14:paraId="059D6CFE" w14:textId="77777777" w:rsidR="00575CBE" w:rsidRDefault="00575CBE" w:rsidP="00575CBE">
      <w:pPr>
        <w:widowControl w:val="0"/>
        <w:pBdr>
          <w:top w:val="nil"/>
          <w:left w:val="nil"/>
          <w:bottom w:val="nil"/>
          <w:right w:val="nil"/>
          <w:between w:val="nil"/>
        </w:pBdr>
        <w:spacing w:before="6"/>
        <w:ind w:right="30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minorenne, copia del documento d’identità e copia del codice fiscale del soggetto offerente e del soggetto che sottoscrive l’offerta, nonché copia del provvedimento di autorizzazione; </w:t>
      </w:r>
    </w:p>
    <w:p w14:paraId="036B012D" w14:textId="77777777" w:rsidR="00575CBE" w:rsidRDefault="00575CBE" w:rsidP="00575CBE">
      <w:pPr>
        <w:widowControl w:val="0"/>
        <w:pBdr>
          <w:top w:val="nil"/>
          <w:left w:val="nil"/>
          <w:bottom w:val="nil"/>
          <w:right w:val="nil"/>
          <w:between w:val="nil"/>
        </w:pBdr>
        <w:spacing w:before="6"/>
        <w:ind w:right="29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 </w:t>
      </w:r>
    </w:p>
    <w:p w14:paraId="3B18D7F7"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una società o persona giuridica, copia del documento (ad esempio, certificato del registro delle imprese) da cui risultino i poteri ovvero la procura o l’atto di nomina che giustifichi i poteri; </w:t>
      </w:r>
    </w:p>
    <w:p w14:paraId="4321F68C"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p>
    <w:p w14:paraId="08FC2E35" w14:textId="77777777" w:rsidR="00575CBE" w:rsidRDefault="00575CBE" w:rsidP="00575CBE">
      <w:pPr>
        <w:widowControl w:val="0"/>
        <w:pBdr>
          <w:top w:val="nil"/>
          <w:left w:val="nil"/>
          <w:bottom w:val="nil"/>
          <w:right w:val="nil"/>
          <w:between w:val="nil"/>
        </w:pBdr>
        <w:spacing w:before="6"/>
        <w:ind w:right="2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l’offerta è formulata da più persone, copia anche per immagine della procura rilasciata dagli altri offerenti per atto pubblico o scrittura privata autenticata in favore del: </w:t>
      </w:r>
    </w:p>
    <w:p w14:paraId="4D85567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presentatore;  </w:t>
      </w:r>
    </w:p>
    <w:p w14:paraId="0F52B0FB" w14:textId="77777777" w:rsidR="00575CBE" w:rsidRDefault="00575CBE" w:rsidP="00575CBE">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soggetto che sottoscrive l’offerta per la modalità cartacea. </w:t>
      </w:r>
    </w:p>
    <w:p w14:paraId="59EFAB10" w14:textId="069ED713"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altresì dichiarare l’eventuale volontà di avvalersi della procedura di mutuo in caso di aggiudicazione definitiva come previsto dall’art. 585 c.p.c. (e meglio sotto precisato). </w:t>
      </w:r>
    </w:p>
    <w:p w14:paraId="64DDA9D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447BE90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516E5027"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 Apertura delle buste ed eventuale gara tra gli offerenti </w:t>
      </w:r>
    </w:p>
    <w:p w14:paraId="1005BF63"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L’esame delle offerte e lo svolgimento dell’eventuale gara sarà effettuato presso lo Studio del Commissionario sito in Trento presso la Sala Aste in Via Fersina 12/A. </w:t>
      </w:r>
    </w:p>
    <w:p w14:paraId="478BFCED" w14:textId="77777777" w:rsidR="00497920" w:rsidRDefault="00497920" w:rsidP="00497920">
      <w:pPr>
        <w:widowControl w:val="0"/>
        <w:pBdr>
          <w:top w:val="nil"/>
          <w:left w:val="nil"/>
          <w:bottom w:val="nil"/>
          <w:right w:val="nil"/>
          <w:between w:val="nil"/>
        </w:pBdr>
        <w:spacing w:before="6"/>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Commissionario utilizzerà il portale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Le buste telematiche e cartacee contenenti le offerte verranno aperte dal Commissionario solo nella data ed all’orario dell’udienza di vendita, sopra indicati. </w:t>
      </w:r>
    </w:p>
    <w:p w14:paraId="57469C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degli offerenti all’udienza di vendita avrà luogo: </w:t>
      </w:r>
    </w:p>
    <w:p w14:paraId="27A88263"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telematico: esclusivamente tramite l’area riservata del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w:t>
      </w:r>
    </w:p>
    <w:p w14:paraId="0F590E6B" w14:textId="1A6B765D"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cartaceo: mediante presenza presso lo Studio del Commissionario sito in Trento, presso la Sala Aste in Via Fersina 12/A. </w:t>
      </w:r>
    </w:p>
    <w:p w14:paraId="668AE321" w14:textId="77777777" w:rsidR="00497920" w:rsidRDefault="00497920" w:rsidP="00497920">
      <w:pPr>
        <w:widowControl w:val="0"/>
        <w:pBdr>
          <w:top w:val="nil"/>
          <w:left w:val="nil"/>
          <w:bottom w:val="nil"/>
          <w:right w:val="nil"/>
          <w:between w:val="nil"/>
        </w:pBdr>
        <w:spacing w:before="282"/>
        <w:ind w:right="306" w:firstLin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Si precisa che </w:t>
      </w:r>
      <w:r>
        <w:rPr>
          <w:rFonts w:ascii="Times New Roman" w:eastAsia="Times New Roman" w:hAnsi="Times New Roman" w:cs="Times New Roman"/>
          <w:b/>
          <w:bCs/>
          <w:color w:val="000000"/>
          <w:sz w:val="24"/>
          <w:szCs w:val="24"/>
        </w:rPr>
        <w:t xml:space="preserve">anche nel caso di mancata connessione/presenza da parte dell’unico offerente, l’aggiudicazione potrà comunque essere disposta in suo favore. </w:t>
      </w:r>
    </w:p>
    <w:p w14:paraId="79385508" w14:textId="77777777" w:rsidR="00497920" w:rsidRDefault="00497920" w:rsidP="00497920">
      <w:pPr>
        <w:widowControl w:val="0"/>
        <w:pBdr>
          <w:top w:val="nil"/>
          <w:left w:val="nil"/>
          <w:bottom w:val="nil"/>
          <w:right w:val="nil"/>
          <w:between w:val="nil"/>
        </w:pBdr>
        <w:spacing w:before="6"/>
        <w:ind w:right="297"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Nell’ipotesi di presentazione di </w:t>
      </w:r>
      <w:r>
        <w:rPr>
          <w:rFonts w:ascii="Times New Roman" w:eastAsia="Times New Roman" w:hAnsi="Times New Roman" w:cs="Times New Roman"/>
          <w:b/>
          <w:bCs/>
          <w:color w:val="000000"/>
          <w:sz w:val="24"/>
          <w:szCs w:val="24"/>
        </w:rPr>
        <w:t xml:space="preserve">più offerte valide </w:t>
      </w:r>
      <w:r>
        <w:rPr>
          <w:rFonts w:ascii="Times New Roman" w:eastAsia="Times New Roman" w:hAnsi="Times New Roman" w:cs="Times New Roman"/>
          <w:color w:val="000000"/>
          <w:sz w:val="24"/>
          <w:szCs w:val="24"/>
        </w:rPr>
        <w:t xml:space="preserve">si procederà con gara tra gli offerenti mediante la piattaforma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sul prezzo offerto più alto (</w:t>
      </w:r>
      <w:r>
        <w:rPr>
          <w:rFonts w:ascii="Times New Roman" w:eastAsia="Times New Roman" w:hAnsi="Times New Roman" w:cs="Times New Roman"/>
          <w:color w:val="000000"/>
          <w:sz w:val="24"/>
          <w:szCs w:val="24"/>
          <w:u w:val="single"/>
        </w:rPr>
        <w:t>tanto</w:t>
      </w:r>
      <w:r>
        <w:rPr>
          <w:rFonts w:ascii="Times New Roman" w:eastAsia="Times New Roman" w:hAnsi="Times New Roman" w:cs="Times New Roman"/>
          <w:color w:val="000000"/>
          <w:sz w:val="24"/>
          <w:szCs w:val="24"/>
        </w:rPr>
        <w:t xml:space="preserve">, anche in presenza di due o più offerte di identico importo). </w:t>
      </w:r>
    </w:p>
    <w:p w14:paraId="01231144"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quindi, avrà inizio subito dopo l’apertura delle buste di offerte ed il vaglio di ammissibilità di tutte le offerte ricevute. </w:t>
      </w:r>
    </w:p>
    <w:p w14:paraId="395A0CD5"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offerte giudicate regolari abiliteranno automaticamente l’offerente alla partecipazione alla gara. </w:t>
      </w:r>
    </w:p>
    <w:p w14:paraId="4EAB2AE2" w14:textId="1FEB00FC" w:rsidR="00497920" w:rsidRDefault="00497920" w:rsidP="00497920">
      <w:pPr>
        <w:widowControl w:val="0"/>
        <w:pBdr>
          <w:top w:val="nil"/>
          <w:left w:val="nil"/>
          <w:bottom w:val="nil"/>
          <w:right w:val="nil"/>
          <w:between w:val="nil"/>
        </w:pBdr>
        <w:spacing w:before="271"/>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Ogni rilancio durante la gara, dovrà essere non inferiore a euro </w:t>
      </w:r>
      <w:r w:rsidR="00EB7AB9">
        <w:rPr>
          <w:rFonts w:ascii="Times New Roman" w:eastAsia="Times New Roman" w:hAnsi="Times New Roman" w:cs="Times New Roman"/>
          <w:b/>
          <w:bCs/>
          <w:color w:val="000000"/>
          <w:sz w:val="24"/>
          <w:szCs w:val="24"/>
        </w:rPr>
        <w:t>500</w:t>
      </w:r>
      <w:r>
        <w:rPr>
          <w:rFonts w:ascii="Times New Roman" w:eastAsia="Times New Roman" w:hAnsi="Times New Roman" w:cs="Times New Roman"/>
          <w:b/>
          <w:bCs/>
          <w:color w:val="000000"/>
          <w:sz w:val="24"/>
          <w:szCs w:val="24"/>
        </w:rPr>
        <w:t xml:space="preserve">,00; </w:t>
      </w:r>
      <w:r>
        <w:rPr>
          <w:rFonts w:ascii="Times New Roman" w:eastAsia="Times New Roman" w:hAnsi="Times New Roman" w:cs="Times New Roman"/>
          <w:color w:val="000000"/>
          <w:sz w:val="24"/>
          <w:szCs w:val="24"/>
        </w:rPr>
        <w:t xml:space="preserve">in caso di gara tra gli offerenti, aggiudicherà al maggior offerente (allorché siano trascorsi 180 secondi dall’ultima offerta senza che ne segua altra maggiore). </w:t>
      </w:r>
    </w:p>
    <w:p w14:paraId="17990DCD" w14:textId="77777777" w:rsidR="00497920" w:rsidRDefault="00497920" w:rsidP="00497920">
      <w:pPr>
        <w:widowControl w:val="0"/>
        <w:pBdr>
          <w:top w:val="nil"/>
          <w:left w:val="nil"/>
          <w:bottom w:val="nil"/>
          <w:right w:val="nil"/>
          <w:between w:val="nil"/>
        </w:pBdr>
        <w:spacing w:before="282"/>
        <w:ind w:right="24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Al termine della gara</w:t>
      </w:r>
      <w:r>
        <w:rPr>
          <w:rFonts w:ascii="Times New Roman" w:eastAsia="Times New Roman" w:hAnsi="Times New Roman" w:cs="Times New Roman"/>
          <w:color w:val="000000"/>
          <w:sz w:val="24"/>
          <w:szCs w:val="24"/>
        </w:rPr>
        <w:t xml:space="preserve">, comprensiva degli eventuali prolungamenti, il </w:t>
      </w:r>
      <w:r>
        <w:rPr>
          <w:rFonts w:ascii="Times New Roman" w:eastAsia="Times New Roman" w:hAnsi="Times New Roman" w:cs="Times New Roman"/>
          <w:b/>
          <w:bCs/>
          <w:color w:val="000000"/>
          <w:sz w:val="24"/>
          <w:szCs w:val="24"/>
        </w:rPr>
        <w:t>Commissionario procederà all’aggiudicazione</w:t>
      </w:r>
      <w:r>
        <w:rPr>
          <w:rFonts w:ascii="Times New Roman" w:eastAsia="Times New Roman" w:hAnsi="Times New Roman" w:cs="Times New Roman"/>
          <w:color w:val="000000"/>
          <w:sz w:val="24"/>
          <w:szCs w:val="24"/>
        </w:rPr>
        <w:t xml:space="preserve">, stilando apposito verbale. </w:t>
      </w:r>
    </w:p>
    <w:p w14:paraId="65B321F3" w14:textId="77777777" w:rsidR="00497920" w:rsidRDefault="00497920" w:rsidP="00497920">
      <w:pPr>
        <w:widowControl w:val="0"/>
        <w:pBdr>
          <w:top w:val="nil"/>
          <w:left w:val="nil"/>
          <w:bottom w:val="nil"/>
          <w:right w:val="nil"/>
          <w:between w:val="nil"/>
        </w:pBdr>
        <w:spacing w:before="282"/>
        <w:ind w:right="2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caso in cui non vi siano state offerte in aumento in fase di gara (dimostrando così la mancata volontà di ogni offerente di aderire alla gara), l’aggiudicazione avverrà sulla scorta degli elementi di seguito elencati (in ordine di priorità): </w:t>
      </w:r>
    </w:p>
    <w:p w14:paraId="242A55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maggior importo del prezzo offerto; </w:t>
      </w:r>
    </w:p>
    <w:p w14:paraId="07106B0B"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di prezzo offerto, maggior importo della cauzione versata; </w:t>
      </w:r>
    </w:p>
    <w:p w14:paraId="2125CCF4" w14:textId="77777777"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cauzione prestata, minor termine indicato per il versamento del prezzo; </w:t>
      </w:r>
    </w:p>
    <w:p w14:paraId="1BE7443D" w14:textId="16ADB5D8"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termine per il versamento del prezzo, priorità temporale nel deposito dell’offerta. </w:t>
      </w:r>
    </w:p>
    <w:p w14:paraId="12319754" w14:textId="64826E68"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interessati all’acquisto possono visionare il compendio collegandosi al Portale delle Vendite e utilizzando l’apposito form di “richiesta prenotazione visita”. </w:t>
      </w:r>
    </w:p>
    <w:p w14:paraId="3C2FEF6C" w14:textId="77777777" w:rsidR="00B61599" w:rsidRDefault="00B61599"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p>
    <w:p w14:paraId="36DA1B2D" w14:textId="77777777" w:rsidR="00B61599" w:rsidRDefault="00B61599"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p>
    <w:p w14:paraId="1E468AA9" w14:textId="1600C6DF"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 Trasferimento del bene </w:t>
      </w:r>
    </w:p>
    <w:p w14:paraId="1342359C" w14:textId="77777777" w:rsidR="00497920" w:rsidRDefault="00497920" w:rsidP="00497920">
      <w:pPr>
        <w:widowControl w:val="0"/>
        <w:pBdr>
          <w:top w:val="nil"/>
          <w:left w:val="nil"/>
          <w:bottom w:val="nil"/>
          <w:right w:val="nil"/>
          <w:between w:val="nil"/>
        </w:pBdr>
        <w:ind w:right="239"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Il trasferimento del lotto a favore dell’aggiudicatario avverrà mediante rogito notarile presso il </w:t>
      </w:r>
      <w:r>
        <w:rPr>
          <w:rFonts w:ascii="Times New Roman" w:eastAsia="Times New Roman" w:hAnsi="Times New Roman" w:cs="Times New Roman"/>
          <w:b/>
          <w:bCs/>
          <w:color w:val="000000"/>
          <w:sz w:val="24"/>
          <w:szCs w:val="24"/>
        </w:rPr>
        <w:t xml:space="preserve">Notaio Alfredo Dondi, in Piazza Silvio Pellico, 12 – 38122 (TN). </w:t>
      </w:r>
    </w:p>
    <w:p w14:paraId="6E0F6EB2" w14:textId="435DD222" w:rsidR="00497920" w:rsidRDefault="00EB7AB9" w:rsidP="00497920">
      <w:pPr>
        <w:widowControl w:val="0"/>
        <w:pBdr>
          <w:top w:val="nil"/>
          <w:left w:val="nil"/>
          <w:bottom w:val="nil"/>
          <w:right w:val="nil"/>
          <w:between w:val="nil"/>
        </w:pBdr>
        <w:spacing w:before="6"/>
        <w:ind w:right="239" w:firstLine="2"/>
        <w:jc w:val="both"/>
        <w:rPr>
          <w:rFonts w:ascii="Times New Roman" w:eastAsia="Times New Roman" w:hAnsi="Times New Roman" w:cs="Times New Roman"/>
          <w:color w:val="000000"/>
          <w:sz w:val="24"/>
          <w:szCs w:val="24"/>
        </w:rPr>
      </w:pPr>
      <w:r w:rsidRPr="00EB7AB9">
        <w:rPr>
          <w:rFonts w:ascii="Times New Roman" w:eastAsia="Times New Roman" w:hAnsi="Times New Roman" w:cs="Times New Roman"/>
          <w:color w:val="000000"/>
          <w:sz w:val="24"/>
          <w:szCs w:val="24"/>
        </w:rPr>
        <w:t xml:space="preserve">L’aggiudicatario dovrà depositare mediante bonifico bancario sul conto corrente della procedura L.G. 31/2025 – XENA IMMOBILIARE SRL </w:t>
      </w:r>
      <w:r w:rsidRPr="00EB7AB9">
        <w:rPr>
          <w:rFonts w:ascii="Times New Roman" w:eastAsia="Times New Roman" w:hAnsi="Times New Roman" w:cs="Times New Roman"/>
          <w:b/>
          <w:bCs/>
          <w:color w:val="000000"/>
          <w:sz w:val="24"/>
          <w:szCs w:val="24"/>
          <w:u w:val="single"/>
        </w:rPr>
        <w:t xml:space="preserve">IT 14M0830401833000033439659 Banca per il Trentino alto Adige </w:t>
      </w:r>
      <w:r w:rsidR="00497920">
        <w:rPr>
          <w:rFonts w:ascii="Times New Roman" w:eastAsia="Times New Roman" w:hAnsi="Times New Roman" w:cs="Times New Roman"/>
          <w:color w:val="000000"/>
          <w:sz w:val="24"/>
          <w:szCs w:val="24"/>
        </w:rPr>
        <w:t xml:space="preserve">il residuo prezzo (detratto l’importo già versato a titolo di cauzione), nel termine indicato nell’offerta nel termine </w:t>
      </w:r>
      <w:r w:rsidR="00497920">
        <w:rPr>
          <w:rFonts w:ascii="Times New Roman" w:eastAsia="Times New Roman" w:hAnsi="Times New Roman" w:cs="Times New Roman"/>
          <w:b/>
          <w:bCs/>
          <w:color w:val="000000"/>
          <w:sz w:val="24"/>
          <w:szCs w:val="24"/>
        </w:rPr>
        <w:t xml:space="preserve">di 90 giorni dall’aggiudicazione </w:t>
      </w:r>
      <w:r w:rsidR="00497920">
        <w:rPr>
          <w:rFonts w:ascii="Times New Roman" w:eastAsia="Times New Roman" w:hAnsi="Times New Roman" w:cs="Times New Roman"/>
          <w:color w:val="000000"/>
          <w:sz w:val="24"/>
          <w:szCs w:val="24"/>
        </w:rPr>
        <w:t xml:space="preserve">(termine non soggetto a sospensione feriale). </w:t>
      </w:r>
    </w:p>
    <w:p w14:paraId="61169860" w14:textId="77777777" w:rsidR="00497920" w:rsidRDefault="00497920" w:rsidP="00497920">
      <w:pPr>
        <w:widowControl w:val="0"/>
        <w:pBdr>
          <w:top w:val="nil"/>
          <w:left w:val="nil"/>
          <w:bottom w:val="nil"/>
          <w:right w:val="nil"/>
          <w:between w:val="nil"/>
        </w:pBdr>
        <w:spacing w:before="5"/>
        <w:ind w:right="2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vendita è soggetta alle imposte di registro, ipotecarie e catastali nella misura prevista dalla legge; tali oneri fiscali saranno a carico dell’aggiudicatario da depositarsi nello stesso termine e con le stesse modalità. </w:t>
      </w:r>
    </w:p>
    <w:p w14:paraId="3AE08280" w14:textId="77777777" w:rsidR="00497920" w:rsidRDefault="00497920" w:rsidP="00497920">
      <w:pPr>
        <w:widowControl w:val="0"/>
        <w:pBdr>
          <w:top w:val="nil"/>
          <w:left w:val="nil"/>
          <w:bottom w:val="nil"/>
          <w:right w:val="nil"/>
          <w:between w:val="nil"/>
        </w:pBdr>
        <w:spacing w:before="282"/>
        <w:ind w:right="241"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l’aggiudicatario intenderà, sussistendone i presupposti, beneficiare delle agevolazioni per la cd.  “prima casa” o di altre agevolazioni previste dalla legge, dovrà dichiararlo all’atto dell’aggiudicazione o mediante apposita dichiarazione scritta contenente l’attestazione della sussistenza dei requisiti di legge, da comunicare nei cinque giorni successivi. </w:t>
      </w:r>
    </w:p>
    <w:p w14:paraId="51FB4A5B" w14:textId="78264D2D" w:rsidR="00497920" w:rsidRDefault="00497920" w:rsidP="00497920">
      <w:pPr>
        <w:widowControl w:val="0"/>
        <w:pBdr>
          <w:top w:val="nil"/>
          <w:left w:val="nil"/>
          <w:bottom w:val="nil"/>
          <w:right w:val="nil"/>
          <w:between w:val="nil"/>
        </w:pBdr>
        <w:spacing w:before="6"/>
        <w:ind w:right="243"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rifiuto o inadempimento dell’obbligo di versare quanto sopra, nel termine indicato di </w:t>
      </w:r>
      <w:r w:rsidR="00C965C1">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 xml:space="preserve">0 giorni, da parte dell’aggiudicatario o del terzo dallo stesso nominato, l’aggiudicazione si intenderà revocata automaticamente e la cauzione a corredo dell’offerta sarà trattenuta dalla procedura a titolo di penale per l’inadempimento, salvo il risarcimento del maggior danno. In tale caso, il Commissionario potrà, a suo insindacabile giudizio, indire un nuovo esperimento di vendita ovvero dar luogo all'aggiudicazione a favore del soggetto che abbia presentato la seconda offerta di importo più elevato rispetto a quella formulata dall'aggiudicatario decaduto. </w:t>
      </w:r>
    </w:p>
    <w:p w14:paraId="30606771" w14:textId="77777777" w:rsidR="00497920" w:rsidRDefault="00497920" w:rsidP="00497920">
      <w:pPr>
        <w:widowControl w:val="0"/>
        <w:pBdr>
          <w:top w:val="nil"/>
          <w:left w:val="nil"/>
          <w:bottom w:val="nil"/>
          <w:right w:val="nil"/>
          <w:between w:val="nil"/>
        </w:pBdr>
        <w:spacing w:before="5"/>
        <w:ind w:right="240"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L’aggiudicatario sarà immesso nel possesso dei beni a cura del Commissionario, salvo che venga esentato dall’aggiudicatario. Da quel momento saranno a carico dell’acquirente tutti gli oneri relativi ai detti beni, compresi quelli relativi alla vigilanza, alle utenze, imposte e tasse, e ogni altro onere di pertinenza. </w:t>
      </w:r>
    </w:p>
    <w:p w14:paraId="7D6D207B"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 Principali condizioni della vendita</w:t>
      </w:r>
    </w:p>
    <w:p w14:paraId="50FAB7C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indicano di seguito, a titolo non esaustivo e con riserva di eventuali modifiche e/o integrazioni, le principali condizioni contrattuali della vendita immobiliare che sarà conclusa con l’aggiudicatario: </w:t>
      </w: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la vendita avviene nello stato di fatto e di diritto in cui l’immobile si trova, come dettagliatamente descritto nella perizia redatta dall’esperto stimatore dell’esecuzione di cui in premessa, con tutte le eventuali pertinenze, accessori, ragioni ed azioni, servitù attive e passive; la vendita è a corpo e non a misura; eventuali differenze di misura non potranno dar luogo ad alcun risarcimento, indennità o riduzione di prezzo; </w:t>
      </w:r>
    </w:p>
    <w:p w14:paraId="486EB32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iscrizioni e trascrizioni pregiudizievoli gravanti sull’immobile saranno cancellate tempestivamente dopo l’emissione del decreto di trasferimento, a cura e spese della procedura (v.  infra al punto successivo); </w:t>
      </w:r>
    </w:p>
    <w:p w14:paraId="0BE1014B"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l’esistenza di eventuali vizi, difetti, mancanza di qualità o difformità dell’immobile venduto, oneri  di qualsiasi genere (ivi compresi, ad esempio, quelli urbanistici ovvero derivanti dalla eventuale  necessità di adeguamento di impianti alle leggi vigenti, le spese condominiali dell’anno in corso e  dell’anno precedente non pagate dal debitore) per qualsiasi motivo non considerati, anche se  </w:t>
      </w:r>
      <w:r>
        <w:rPr>
          <w:rFonts w:ascii="Times New Roman" w:eastAsia="Times New Roman" w:hAnsi="Times New Roman" w:cs="Times New Roman"/>
          <w:color w:val="000000"/>
          <w:sz w:val="24"/>
          <w:szCs w:val="24"/>
        </w:rPr>
        <w:lastRenderedPageBreak/>
        <w:t xml:space="preserve">occulti e comunque non evidenziati nella perizia di cui sopra o emersi dopo la compravendita, non  potranno dar luogo ad alcun risarcimento anche in deroga all’art. 1494 c.c., indennità o riduzione  del prezzo, essendosi di ciò tenuto conto nell'elaborazione del prezzo a base d'asta, e in relazione  agli stessi l’acquirente rinuncia a qualsiasi azione risolutoria, risarcitoria e/o indennitaria nei  confronti del fallimento; </w:t>
      </w:r>
    </w:p>
    <w:p w14:paraId="1A5F0E85" w14:textId="5DC28E7C"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adeguamenti degli immobili e dei suoi impianti alle norme in materia di tutela ecologica,  ambientale, energetica nonché, in generale, alle disposizioni di legge vigenti, sono a carico  esclusivo dell’acquirente; sarà inoltre onere dell’acquirente, a propria cura e spese, la dotazione  della certificazione tecnico/amministrativa prevista dalle vigenti normative, dispensando  espressamente la procedura fallimentare della produzione ed allegazione (es. attestato prestazione  energetica, conformità impianti). Si ricorda che l’attestato di prestazione energetica, qualora mancante, sarà a totale carico dell’aggiudicatario il quale dovrà produrlo e depositarlo al Commissionario IVG entro il termine perentorio stabilito per il saldo prezzo. </w:t>
      </w:r>
    </w:p>
    <w:p w14:paraId="4BBCC8E0" w14:textId="77777777" w:rsidR="00497920" w:rsidRDefault="00497920" w:rsidP="00497920">
      <w:pPr>
        <w:widowControl w:val="0"/>
        <w:pBdr>
          <w:top w:val="nil"/>
          <w:left w:val="nil"/>
          <w:bottom w:val="nil"/>
          <w:right w:val="nil"/>
          <w:between w:val="nil"/>
        </w:pBdr>
        <w:spacing w:before="6"/>
        <w:ind w:right="243"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Sono a esclusivo carico dell’acquirente tutte le spese, gli oneri fiscali ed i tributi occorrenti per perfezionare il trasferimento del bene oggetto della presente vendita (I.V.A., imposta di registrazione, costi di trascrizione e quant’altro occorrente), mente le spese per la cancellazione delle formalità pregiudizievoli esistenti saranno a carico della procedura. </w:t>
      </w:r>
    </w:p>
    <w:p w14:paraId="24731AEF" w14:textId="51FB5058"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 Avvertimenti e disposizioni generali </w:t>
      </w:r>
    </w:p>
    <w:p w14:paraId="6EDD0954" w14:textId="77777777" w:rsidR="00497920" w:rsidRDefault="00497920" w:rsidP="00497920">
      <w:pPr>
        <w:widowControl w:val="0"/>
        <w:pBdr>
          <w:top w:val="nil"/>
          <w:left w:val="nil"/>
          <w:bottom w:val="nil"/>
          <w:right w:val="nil"/>
          <w:between w:val="nil"/>
        </w:pBdr>
        <w:ind w:right="241"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avvertono gli offerenti che, la cancellazione delle iscrizioni relative ai diritti di prelazione, nonché delle trascrizioni dei pignoramenti e dei sequestri conservativi e di ogni altro vincolo sull’immobile sarà ordinata dal giudice “una volta eseguita la vendita e riscosso interamente il prezzo”. Si precisa altresì che il presente avviso di vendita, corredato dal disciplinare di gara e dalle condizioni generali di vendita sarà comunicato a ciascuno dei creditori ipotecari o comunque munito di privilegio, risultante dai pubblici registri, nonché agli eventuali conduttori con contratto opponibile alla procedura, almeno 30 giorni prima della vendita. </w:t>
      </w:r>
    </w:p>
    <w:p w14:paraId="30BBD8CC" w14:textId="77777777" w:rsidR="00497920" w:rsidRDefault="00497920" w:rsidP="00497920">
      <w:pPr>
        <w:widowControl w:val="0"/>
        <w:pBdr>
          <w:top w:val="nil"/>
          <w:left w:val="nil"/>
          <w:bottom w:val="nil"/>
          <w:right w:val="nil"/>
          <w:between w:val="nil"/>
        </w:pBdr>
        <w:spacing w:before="6"/>
        <w:ind w:right="242"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46 comma 5 d.p.r. 380/2001 l'aggiudicatario, qualora l'immobile si trovi nelle condizioni previste per il rilascio del permesso di costruire in sanatoria (cfr. anche art. 40/6 capo IV della legge 28 febbraio 1985 n. 47), dovrà presentare domanda di permesso in sanatoria entro centoventi giorni dalla vendita. </w:t>
      </w:r>
    </w:p>
    <w:p w14:paraId="3178D88F" w14:textId="77777777" w:rsidR="00497920" w:rsidRDefault="00497920" w:rsidP="00497920">
      <w:pPr>
        <w:widowControl w:val="0"/>
        <w:pBdr>
          <w:top w:val="nil"/>
          <w:left w:val="nil"/>
          <w:bottom w:val="nil"/>
          <w:right w:val="nil"/>
          <w:between w:val="nil"/>
        </w:pBdr>
        <w:spacing w:before="5"/>
        <w:ind w:right="245"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Grava su ciascun partecipante alla gara di vendita l’onere di prendere preventiva, integrale ed accurata visione del presente avviso di vendita, della perizia di stima del disciplinare di gara, del modello di presentazione delle offerte, nonché delle condizioni generali di vendita. </w:t>
      </w:r>
    </w:p>
    <w:p w14:paraId="0418C69C" w14:textId="77777777" w:rsidR="00497920" w:rsidRDefault="00497920" w:rsidP="00497920">
      <w:pPr>
        <w:widowControl w:val="0"/>
        <w:pBdr>
          <w:top w:val="nil"/>
          <w:left w:val="nil"/>
          <w:bottom w:val="nil"/>
          <w:right w:val="nil"/>
          <w:between w:val="nil"/>
        </w:pBdr>
        <w:spacing w:before="6"/>
        <w:ind w:right="241"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precisa che la liquidazione del complesso immobiliare è da intendersi effettuata alla condizione “visto e piaciuto nello stato di fatto in cui si trova” e l’aggiudicatario non potrà muovere obiezione alcuna sui beni acquistati, successivamente all’aggiudicazione. Gli organi della procedura concorsuale si riservano, a proprio insindacabile giudizio e senza obbligo di motivazione, di poter </w:t>
      </w:r>
    </w:p>
    <w:p w14:paraId="45880E49" w14:textId="77777777" w:rsidR="00497920" w:rsidRDefault="00497920" w:rsidP="00497920">
      <w:pPr>
        <w:widowControl w:val="0"/>
        <w:pBdr>
          <w:top w:val="nil"/>
          <w:left w:val="nil"/>
          <w:bottom w:val="nil"/>
          <w:right w:val="nil"/>
          <w:between w:val="nil"/>
        </w:pBdr>
        <w:ind w:right="24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sospendere ovvero interrompere definitivamente la procedura di aggiudicazione in qualsiasi momento. Quindi, nel caso in cui, per qualsiasi motivo, non sia possibile effettuare l’aggiudicazione definitiva, nessun tipo di risarcimento o spesa verrà riconosciuto agli offerenti. </w:t>
      </w:r>
    </w:p>
    <w:p w14:paraId="0F98E887" w14:textId="77777777"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7 - Foro competente </w:t>
      </w:r>
    </w:p>
    <w:p w14:paraId="781D4CFE"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alla vendita implica: </w:t>
      </w:r>
    </w:p>
    <w:p w14:paraId="171FB731"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lettura integrale della relazione peritale e dei relativi allegati; </w:t>
      </w:r>
    </w:p>
    <w:p w14:paraId="36C3A3A6"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l’accettazione incondizionata di quanto contenuto nel presente avviso;  </w:t>
      </w:r>
    </w:p>
    <w:p w14:paraId="11415B8E" w14:textId="126CB697" w:rsidR="00B61599" w:rsidRPr="00B61599" w:rsidRDefault="00497920" w:rsidP="00B61599">
      <w:pPr>
        <w:widowControl w:val="0"/>
        <w:pBdr>
          <w:top w:val="nil"/>
          <w:left w:val="nil"/>
          <w:bottom w:val="nil"/>
          <w:right w:val="nil"/>
          <w:between w:val="nil"/>
        </w:pBdr>
        <w:ind w:right="2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Per ogni e qualsiasi controversia relativa al presente avviso di vendita corredato dal disciplinare di gara e dalle condizioni generali di vendita, alla sua interpretazione, esecuzione, validità o efficacia, nonché per ogni altra controversia comunque connessa al medesimo e/o alla presente procedura competitiva sarà competente in via esclusiva il foro di Trento.</w:t>
      </w:r>
    </w:p>
    <w:p w14:paraId="1D468AC3" w14:textId="4E6B9BB5"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8 - Pubblicazione e pubblicità </w:t>
      </w:r>
    </w:p>
    <w:p w14:paraId="30348A33" w14:textId="77777777"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pubblicità sarà effettuata a norma dell'art. 490 del c.p.c. secondo le modalità: - pubblicazione dell'ordinanza e dell’avviso di vendita, sul portale delle vendite pubbliche del Ministero della Giustizia; </w:t>
      </w:r>
    </w:p>
    <w:p w14:paraId="3BA5484F" w14:textId="0B5753BF"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 xml:space="preserve">sito abilitato alla pubblicazione degli avvisi ex art. 490 co.2 c.p.c. </w:t>
      </w:r>
    </w:p>
    <w:p w14:paraId="628B911E"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www.tribunale.trento.giustizia.it </w:t>
      </w:r>
    </w:p>
    <w:p w14:paraId="3EB2A0C6" w14:textId="1362002D" w:rsidR="00497920" w:rsidRPr="00B61599" w:rsidRDefault="00497920" w:rsidP="00B61599">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w:t>
      </w:r>
      <w:r w:rsidR="003F7604">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sui siti </w:t>
      </w:r>
      <w:r>
        <w:rPr>
          <w:rFonts w:ascii="Times New Roman" w:eastAsia="Times New Roman" w:hAnsi="Times New Roman" w:cs="Times New Roman"/>
          <w:color w:val="0563C1"/>
          <w:sz w:val="24"/>
          <w:szCs w:val="24"/>
          <w:u w:val="single"/>
        </w:rPr>
        <w:t>www.astalegale.net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www.portaleaste.com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 xml:space="preserve">www.asteimmobili.it </w:t>
      </w:r>
      <w:r>
        <w:rPr>
          <w:rFonts w:ascii="Times New Roman" w:eastAsia="Times New Roman" w:hAnsi="Times New Roman" w:cs="Times New Roman"/>
          <w:color w:val="000000"/>
          <w:sz w:val="24"/>
          <w:szCs w:val="24"/>
        </w:rPr>
        <w:t>e www.publicomonline.it</w:t>
      </w:r>
      <w:r>
        <w:rPr>
          <w:rFonts w:ascii="Times New Roman" w:eastAsia="Times New Roman" w:hAnsi="Times New Roman" w:cs="Times New Roman"/>
          <w:color w:val="0563C1"/>
          <w:sz w:val="24"/>
          <w:szCs w:val="24"/>
          <w:u w:val="single"/>
        </w:rPr>
        <w:t>.</w:t>
      </w:r>
      <w:r>
        <w:rPr>
          <w:rFonts w:ascii="Times New Roman" w:eastAsia="Times New Roman" w:hAnsi="Times New Roman" w:cs="Times New Roman"/>
          <w:color w:val="000000"/>
          <w:sz w:val="24"/>
          <w:szCs w:val="24"/>
        </w:rPr>
        <w:t xml:space="preserve"> </w:t>
      </w:r>
    </w:p>
    <w:p w14:paraId="20EAE417" w14:textId="3F732080"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presente avviso di vendita non costituisce offerta al pubblico ai sensi dell’art. 1336 c.c. Il trattamento dei dati personali comunicati dagli offerenti si svolgerà in conformità alle disposizioni del Regolamento (UE) 2016/679. </w:t>
      </w:r>
    </w:p>
    <w:p w14:paraId="40842D3A"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2928ECEA" w14:textId="77777777" w:rsidR="00497920" w:rsidRDefault="00497920" w:rsidP="00497920">
      <w:pPr>
        <w:widowControl w:val="0"/>
        <w:pBdr>
          <w:top w:val="nil"/>
          <w:left w:val="nil"/>
          <w:bottom w:val="nil"/>
          <w:right w:val="nil"/>
          <w:between w:val="nil"/>
        </w:pBdr>
        <w:spacing w:before="282" w:line="229" w:lineRule="auto"/>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Trento, lì 09 Ottobre 2026 </w:t>
      </w:r>
    </w:p>
    <w:p w14:paraId="221590E5" w14:textId="77777777" w:rsidR="00497920" w:rsidRDefault="00497920" w:rsidP="00497920">
      <w:pPr>
        <w:widowControl w:val="0"/>
        <w:pBdr>
          <w:top w:val="nil"/>
          <w:left w:val="nil"/>
          <w:bottom w:val="nil"/>
          <w:right w:val="nil"/>
          <w:between w:val="nil"/>
        </w:pBdr>
        <w:spacing w:before="548" w:line="240" w:lineRule="auto"/>
        <w:ind w:left="2124" w:right="129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Commissionario IVG</w:t>
      </w:r>
    </w:p>
    <w:p w14:paraId="72D5C674"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6FD0BFA0"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5ADFAB83" w14:textId="77777777"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01F90A1E" w14:textId="77777777" w:rsidR="00240ECC"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5D7E94C1"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p>
    <w:p w14:paraId="644446E7" w14:textId="77777777" w:rsidR="002963BE" w:rsidRDefault="002963BE" w:rsidP="009E0FC6">
      <w:pPr>
        <w:autoSpaceDE w:val="0"/>
        <w:autoSpaceDN w:val="0"/>
        <w:adjustRightInd w:val="0"/>
        <w:jc w:val="both"/>
        <w:rPr>
          <w:rFonts w:ascii="Times New Roman" w:hAnsi="Times New Roman" w:cs="Times New Roman"/>
          <w:sz w:val="24"/>
          <w:szCs w:val="24"/>
        </w:rPr>
      </w:pPr>
    </w:p>
    <w:p w14:paraId="35593B36" w14:textId="77777777" w:rsidR="00E531D8" w:rsidRDefault="00E531D8" w:rsidP="009E0FC6">
      <w:pPr>
        <w:autoSpaceDE w:val="0"/>
        <w:autoSpaceDN w:val="0"/>
        <w:adjustRightInd w:val="0"/>
        <w:jc w:val="both"/>
        <w:rPr>
          <w:rFonts w:ascii="Times New Roman" w:hAnsi="Times New Roman" w:cs="Times New Roman"/>
          <w:sz w:val="24"/>
          <w:szCs w:val="24"/>
        </w:rPr>
      </w:pPr>
    </w:p>
    <w:p w14:paraId="0CC98610" w14:textId="77777777" w:rsidR="00E531D8" w:rsidRDefault="00E531D8" w:rsidP="009E0FC6">
      <w:pPr>
        <w:widowControl w:val="0"/>
        <w:pBdr>
          <w:top w:val="nil"/>
          <w:left w:val="nil"/>
          <w:bottom w:val="nil"/>
          <w:right w:val="nil"/>
          <w:between w:val="nil"/>
        </w:pBdr>
        <w:spacing w:before="192"/>
        <w:ind w:right="4027"/>
        <w:jc w:val="both"/>
        <w:rPr>
          <w:rFonts w:ascii="Times New Roman" w:eastAsia="Times New Roman" w:hAnsi="Times New Roman" w:cs="Times New Roman"/>
          <w:b/>
          <w:bCs/>
          <w:color w:val="000000"/>
          <w:sz w:val="24"/>
          <w:szCs w:val="24"/>
        </w:rPr>
      </w:pPr>
    </w:p>
    <w:p w14:paraId="081F81F6" w14:textId="77777777" w:rsidR="00B91EFE" w:rsidRDefault="00B91EFE" w:rsidP="009E0FC6">
      <w:pPr>
        <w:jc w:val="both"/>
      </w:pPr>
    </w:p>
    <w:sectPr w:rsidR="00B91EFE">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3EAE2" w14:textId="77777777" w:rsidR="008B5356" w:rsidRDefault="008B5356" w:rsidP="00E531D8">
      <w:pPr>
        <w:spacing w:line="240" w:lineRule="auto"/>
      </w:pPr>
      <w:r>
        <w:separator/>
      </w:r>
    </w:p>
  </w:endnote>
  <w:endnote w:type="continuationSeparator" w:id="0">
    <w:p w14:paraId="396A264B" w14:textId="77777777" w:rsidR="008B5356" w:rsidRDefault="008B5356" w:rsidP="00E53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685807"/>
      <w:docPartObj>
        <w:docPartGallery w:val="Page Numbers (Bottom of Page)"/>
        <w:docPartUnique/>
      </w:docPartObj>
    </w:sdtPr>
    <w:sdtContent>
      <w:p w14:paraId="5CC113E9" w14:textId="21A5DDE3" w:rsidR="00E531D8" w:rsidRDefault="00E531D8">
        <w:pPr>
          <w:pStyle w:val="Pidipagina"/>
          <w:jc w:val="center"/>
        </w:pPr>
        <w:r>
          <w:fldChar w:fldCharType="begin"/>
        </w:r>
        <w:r>
          <w:instrText>PAGE   \* MERGEFORMAT</w:instrText>
        </w:r>
        <w:r>
          <w:fldChar w:fldCharType="separate"/>
        </w:r>
        <w:r>
          <w:t>2</w:t>
        </w:r>
        <w:r>
          <w:fldChar w:fldCharType="end"/>
        </w:r>
      </w:p>
    </w:sdtContent>
  </w:sdt>
  <w:p w14:paraId="43720267" w14:textId="77777777" w:rsidR="00E531D8" w:rsidRDefault="00E53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CED5" w14:textId="77777777" w:rsidR="008B5356" w:rsidRDefault="008B5356" w:rsidP="00E531D8">
      <w:pPr>
        <w:spacing w:line="240" w:lineRule="auto"/>
      </w:pPr>
      <w:r>
        <w:separator/>
      </w:r>
    </w:p>
  </w:footnote>
  <w:footnote w:type="continuationSeparator" w:id="0">
    <w:p w14:paraId="2ABF1625" w14:textId="77777777" w:rsidR="008B5356" w:rsidRDefault="008B5356" w:rsidP="00E531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2"/>
    <w:rsid w:val="00072730"/>
    <w:rsid w:val="00123428"/>
    <w:rsid w:val="001A196B"/>
    <w:rsid w:val="001E261E"/>
    <w:rsid w:val="002040B1"/>
    <w:rsid w:val="002350FD"/>
    <w:rsid w:val="00240ECC"/>
    <w:rsid w:val="002963BE"/>
    <w:rsid w:val="003A144E"/>
    <w:rsid w:val="003C68FC"/>
    <w:rsid w:val="003D41E8"/>
    <w:rsid w:val="003F7604"/>
    <w:rsid w:val="003F7D01"/>
    <w:rsid w:val="00432711"/>
    <w:rsid w:val="00497920"/>
    <w:rsid w:val="004E36D2"/>
    <w:rsid w:val="00513B62"/>
    <w:rsid w:val="00575CBE"/>
    <w:rsid w:val="005A1994"/>
    <w:rsid w:val="005B1DF5"/>
    <w:rsid w:val="005B5654"/>
    <w:rsid w:val="005F73B5"/>
    <w:rsid w:val="006920C9"/>
    <w:rsid w:val="006E53DE"/>
    <w:rsid w:val="006F4B6C"/>
    <w:rsid w:val="00787E31"/>
    <w:rsid w:val="007943AC"/>
    <w:rsid w:val="00854771"/>
    <w:rsid w:val="00887A19"/>
    <w:rsid w:val="008B2FB2"/>
    <w:rsid w:val="008B5356"/>
    <w:rsid w:val="00912BD2"/>
    <w:rsid w:val="009238D7"/>
    <w:rsid w:val="00956D73"/>
    <w:rsid w:val="009708D1"/>
    <w:rsid w:val="009E0FC6"/>
    <w:rsid w:val="00A815D5"/>
    <w:rsid w:val="00AB6F1D"/>
    <w:rsid w:val="00AF2A1D"/>
    <w:rsid w:val="00B61599"/>
    <w:rsid w:val="00B62F91"/>
    <w:rsid w:val="00B74F11"/>
    <w:rsid w:val="00B91EFE"/>
    <w:rsid w:val="00BE7814"/>
    <w:rsid w:val="00C26C8C"/>
    <w:rsid w:val="00C551E9"/>
    <w:rsid w:val="00C7562C"/>
    <w:rsid w:val="00C965C1"/>
    <w:rsid w:val="00D85B75"/>
    <w:rsid w:val="00DE529D"/>
    <w:rsid w:val="00E531D8"/>
    <w:rsid w:val="00EB7AB9"/>
    <w:rsid w:val="00EF0906"/>
    <w:rsid w:val="00F502D0"/>
    <w:rsid w:val="00FB2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BDE6"/>
  <w15:chartTrackingRefBased/>
  <w15:docId w15:val="{04C5344A-734B-4A05-A616-8DECCC1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EFE"/>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51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1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13B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13B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13B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13B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3B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3B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3B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uiPriority w:val="99"/>
    <w:semiHidden/>
    <w:unhideWhenUsed/>
    <w:rsid w:val="005B5654"/>
    <w:pPr>
      <w:framePr w:w="7920" w:h="1980" w:hRule="exact" w:hSpace="141" w:wrap="auto" w:hAnchor="page" w:xAlign="center" w:yAlign="bottom"/>
      <w:spacing w:line="240" w:lineRule="auto"/>
      <w:ind w:left="2880"/>
    </w:pPr>
    <w:rPr>
      <w:rFonts w:eastAsiaTheme="majorEastAsia" w:cstheme="majorBidi"/>
      <w:sz w:val="24"/>
      <w:szCs w:val="24"/>
    </w:rPr>
  </w:style>
  <w:style w:type="character" w:customStyle="1" w:styleId="Titolo1Carattere">
    <w:name w:val="Titolo 1 Carattere"/>
    <w:basedOn w:val="Carpredefinitoparagrafo"/>
    <w:link w:val="Titolo1"/>
    <w:uiPriority w:val="9"/>
    <w:rsid w:val="00513B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13B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13B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13B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13B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13B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3B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3B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3B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3B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3B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3B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3B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3B62"/>
    <w:rPr>
      <w:i/>
      <w:iCs/>
      <w:color w:val="404040" w:themeColor="text1" w:themeTint="BF"/>
    </w:rPr>
  </w:style>
  <w:style w:type="paragraph" w:styleId="Paragrafoelenco">
    <w:name w:val="List Paragraph"/>
    <w:basedOn w:val="Normale"/>
    <w:uiPriority w:val="34"/>
    <w:qFormat/>
    <w:rsid w:val="00513B62"/>
    <w:pPr>
      <w:ind w:left="720"/>
      <w:contextualSpacing/>
    </w:pPr>
  </w:style>
  <w:style w:type="character" w:styleId="Enfasiintensa">
    <w:name w:val="Intense Emphasis"/>
    <w:basedOn w:val="Carpredefinitoparagrafo"/>
    <w:uiPriority w:val="21"/>
    <w:qFormat/>
    <w:rsid w:val="00513B62"/>
    <w:rPr>
      <w:i/>
      <w:iCs/>
      <w:color w:val="2F5496" w:themeColor="accent1" w:themeShade="BF"/>
    </w:rPr>
  </w:style>
  <w:style w:type="paragraph" w:styleId="Citazioneintensa">
    <w:name w:val="Intense Quote"/>
    <w:basedOn w:val="Normale"/>
    <w:next w:val="Normale"/>
    <w:link w:val="CitazioneintensaCarattere"/>
    <w:uiPriority w:val="30"/>
    <w:qFormat/>
    <w:rsid w:val="0051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13B62"/>
    <w:rPr>
      <w:i/>
      <w:iCs/>
      <w:color w:val="2F5496" w:themeColor="accent1" w:themeShade="BF"/>
    </w:rPr>
  </w:style>
  <w:style w:type="character" w:styleId="Riferimentointenso">
    <w:name w:val="Intense Reference"/>
    <w:basedOn w:val="Carpredefinitoparagrafo"/>
    <w:uiPriority w:val="32"/>
    <w:qFormat/>
    <w:rsid w:val="00513B62"/>
    <w:rPr>
      <w:b/>
      <w:bCs/>
      <w:smallCaps/>
      <w:color w:val="2F5496" w:themeColor="accent1" w:themeShade="BF"/>
      <w:spacing w:val="5"/>
    </w:rPr>
  </w:style>
  <w:style w:type="character" w:styleId="Collegamentoipertestuale">
    <w:name w:val="Hyperlink"/>
    <w:basedOn w:val="Carpredefinitoparagrafo"/>
    <w:uiPriority w:val="99"/>
    <w:unhideWhenUsed/>
    <w:rsid w:val="00B91EFE"/>
    <w:rPr>
      <w:color w:val="0563C1" w:themeColor="hyperlink"/>
      <w:u w:val="single"/>
    </w:rPr>
  </w:style>
  <w:style w:type="character" w:styleId="Menzionenonrisolta">
    <w:name w:val="Unresolved Mention"/>
    <w:basedOn w:val="Carpredefinitoparagrafo"/>
    <w:uiPriority w:val="99"/>
    <w:semiHidden/>
    <w:unhideWhenUsed/>
    <w:rsid w:val="00B91EFE"/>
    <w:rPr>
      <w:color w:val="605E5C"/>
      <w:shd w:val="clear" w:color="auto" w:fill="E1DFDD"/>
    </w:rPr>
  </w:style>
  <w:style w:type="paragraph" w:styleId="Intestazione">
    <w:name w:val="header"/>
    <w:basedOn w:val="Normale"/>
    <w:link w:val="IntestazioneCarattere"/>
    <w:uiPriority w:val="99"/>
    <w:unhideWhenUsed/>
    <w:rsid w:val="00E531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531D8"/>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E531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531D8"/>
    <w:rPr>
      <w:rFonts w:ascii="Arial" w:eastAsia="Arial"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gtrento@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3567</Words>
  <Characters>20337</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User2</cp:lastModifiedBy>
  <cp:revision>6</cp:revision>
  <dcterms:created xsi:type="dcterms:W3CDTF">2026-10-15T13:58:00Z</dcterms:created>
  <dcterms:modified xsi:type="dcterms:W3CDTF">2026-10-21T14:06:00Z</dcterms:modified>
</cp:coreProperties>
</file>